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A1F4" w14:textId="266850A3" w:rsidR="00630D70" w:rsidRPr="00630D70" w:rsidRDefault="002E15EE" w:rsidP="00484F2F">
      <w:pPr>
        <w:sectPr w:rsidR="00630D70" w:rsidRPr="00630D70" w:rsidSect="000E6788">
          <w:headerReference w:type="default" r:id="rId8"/>
          <w:footerReference w:type="even" r:id="rId9"/>
          <w:footerReference w:type="default" r:id="rId10"/>
          <w:headerReference w:type="first" r:id="rId11"/>
          <w:footerReference w:type="first" r:id="rId12"/>
          <w:pgSz w:w="11906" w:h="16838" w:code="9"/>
          <w:pgMar w:top="1323" w:right="1418" w:bottom="1418" w:left="1701" w:header="568" w:footer="720" w:gutter="0"/>
          <w:cols w:space="708"/>
          <w:titlePg/>
          <w:docGrid w:linePitch="437"/>
        </w:sectPr>
      </w:pPr>
      <w:r w:rsidRPr="002E15EE">
        <w:t>SELF-EFFICACY BASED SELF-CARE EDUCATION AND QUALITY OF LIFE AMONG WOMEN WITH EARLY MENOPAUSE: A QUASI-EXPERIMENTAL STUDY IN BOYOLALI REGENCY, CENTRAL JAVA, INDONESIA</w:t>
      </w:r>
    </w:p>
    <w:p w14:paraId="7289D980" w14:textId="20D42971" w:rsidR="007C6D88" w:rsidRDefault="00366659" w:rsidP="007C6D88">
      <w:pPr>
        <w:spacing w:before="0" w:after="120"/>
        <w:rPr>
          <w:color w:val="000000"/>
          <w:sz w:val="20"/>
          <w:szCs w:val="20"/>
        </w:rPr>
      </w:pPr>
      <w:r>
        <w:rPr>
          <w:color w:val="000000"/>
          <w:sz w:val="20"/>
          <w:szCs w:val="20"/>
        </w:rPr>
        <w:t>Ita Rahmawati</w:t>
      </w:r>
      <w:r>
        <w:rPr>
          <w:color w:val="000000"/>
          <w:sz w:val="20"/>
          <w:szCs w:val="20"/>
          <w:vertAlign w:val="superscript"/>
        </w:rPr>
        <w:t>1</w:t>
      </w:r>
      <w:r w:rsidR="007C6D88">
        <w:rPr>
          <w:color w:val="000000"/>
          <w:sz w:val="20"/>
          <w:szCs w:val="20"/>
        </w:rPr>
        <w:t xml:space="preserve">*, </w:t>
      </w:r>
      <w:r>
        <w:rPr>
          <w:color w:val="000000"/>
          <w:sz w:val="20"/>
          <w:szCs w:val="20"/>
        </w:rPr>
        <w:t>Ratih Kumala Dewi</w:t>
      </w:r>
      <w:r>
        <w:rPr>
          <w:color w:val="000000"/>
          <w:sz w:val="20"/>
          <w:szCs w:val="20"/>
          <w:vertAlign w:val="superscript"/>
        </w:rPr>
        <w:t>2</w:t>
      </w:r>
      <w:r w:rsidR="007C6D88">
        <w:rPr>
          <w:color w:val="000000"/>
          <w:sz w:val="20"/>
          <w:szCs w:val="20"/>
        </w:rPr>
        <w:t xml:space="preserve">, </w:t>
      </w:r>
      <w:r>
        <w:rPr>
          <w:color w:val="000000"/>
          <w:sz w:val="20"/>
          <w:szCs w:val="20"/>
        </w:rPr>
        <w:t>Luluk Khusnul Dwihestie</w:t>
      </w:r>
      <w:r>
        <w:rPr>
          <w:color w:val="000000"/>
          <w:sz w:val="20"/>
          <w:szCs w:val="20"/>
          <w:vertAlign w:val="superscript"/>
        </w:rPr>
        <w:t>3</w:t>
      </w:r>
      <w:r w:rsidR="007C6D88">
        <w:rPr>
          <w:color w:val="000000"/>
          <w:sz w:val="20"/>
          <w:szCs w:val="20"/>
        </w:rPr>
        <w:t xml:space="preserve"> </w:t>
      </w:r>
    </w:p>
    <w:p w14:paraId="2D6A0ABF" w14:textId="249BF990" w:rsidR="007C6D88" w:rsidRDefault="007C6D88" w:rsidP="007C6D88">
      <w:pPr>
        <w:pStyle w:val="Heading1"/>
      </w:pPr>
      <w:r>
        <w:rPr>
          <w:vertAlign w:val="superscript"/>
        </w:rPr>
        <w:t>1</w:t>
      </w:r>
      <w:r>
        <w:t xml:space="preserve"> </w:t>
      </w:r>
      <w:r w:rsidR="00366659">
        <w:t>Program Studi D-III Kebidanan, Fakultas Kesehatan, Universitas Al-Hikmah Jepara, Indonesia</w:t>
      </w:r>
    </w:p>
    <w:p w14:paraId="582B15FB" w14:textId="2C49049D" w:rsidR="007C6D88" w:rsidRDefault="00C31188" w:rsidP="007C6D88">
      <w:pPr>
        <w:pStyle w:val="Heading1"/>
        <w:rPr>
          <w:color w:val="FF0000"/>
        </w:rPr>
      </w:pPr>
      <w:r>
        <w:rPr>
          <w:vertAlign w:val="superscript"/>
        </w:rPr>
        <w:t>2</w:t>
      </w:r>
      <w:r w:rsidR="00366659">
        <w:rPr>
          <w:vertAlign w:val="superscript"/>
        </w:rPr>
        <w:t>,3</w:t>
      </w:r>
      <w:r w:rsidR="007C6D88">
        <w:t xml:space="preserve"> </w:t>
      </w:r>
      <w:r w:rsidR="00366659">
        <w:t>Program Studi Sarjana dan Profesi Kebidanan, STIKES Estu Utomo, Indonesia</w:t>
      </w:r>
    </w:p>
    <w:p w14:paraId="07F71ACC" w14:textId="77777777" w:rsidR="007C6D88" w:rsidRDefault="007C6D88" w:rsidP="007C6D88">
      <w:pPr>
        <w:spacing w:before="0" w:after="0"/>
        <w:jc w:val="left"/>
        <w:rPr>
          <w:rFonts w:ascii="Rosarivo" w:eastAsia="Rosarivo" w:hAnsi="Rosarivo" w:cs="Rosarivo"/>
          <w:b w:val="0"/>
          <w:color w:val="000000"/>
          <w:sz w:val="20"/>
          <w:szCs w:val="20"/>
        </w:rPr>
      </w:pPr>
    </w:p>
    <w:p w14:paraId="2DCBCB11" w14:textId="2ACCFF7E" w:rsidR="007C6D88" w:rsidRDefault="007C6D88" w:rsidP="007C6D88">
      <w:pPr>
        <w:pStyle w:val="Heading2"/>
        <w:spacing w:before="0" w:after="0"/>
        <w:jc w:val="center"/>
      </w:pPr>
      <w:r>
        <w:t xml:space="preserve">Email: </w:t>
      </w:r>
      <w:hyperlink r:id="rId13" w:history="1">
        <w:r w:rsidR="00366659" w:rsidRPr="000F3D9A">
          <w:rPr>
            <w:rStyle w:val="Hyperlink"/>
          </w:rPr>
          <w:t>rahma241121@gmail.com</w:t>
        </w:r>
      </w:hyperlink>
      <w:r>
        <w:t xml:space="preserve"> </w:t>
      </w:r>
    </w:p>
    <w:p w14:paraId="7E3A2589" w14:textId="77777777" w:rsidR="007C6D88" w:rsidRDefault="007C6D88" w:rsidP="007C6D88">
      <w:pPr>
        <w:pStyle w:val="Heading2"/>
        <w:spacing w:before="0" w:after="0"/>
        <w:jc w:val="center"/>
      </w:pPr>
      <w:r>
        <w:t>* Corresponding author</w:t>
      </w:r>
    </w:p>
    <w:p w14:paraId="52F7C5A7" w14:textId="58027D32" w:rsidR="00351D9E" w:rsidRDefault="00351D9E" w:rsidP="00614263">
      <w:pPr>
        <w:pStyle w:val="Heading2"/>
        <w:spacing w:before="0" w:after="0"/>
        <w:jc w:val="center"/>
      </w:pPr>
    </w:p>
    <w:p w14:paraId="5683D860" w14:textId="77777777" w:rsidR="00614263" w:rsidRPr="00614263" w:rsidRDefault="00614263" w:rsidP="00614263">
      <w:pPr>
        <w:pStyle w:val="keywordkatakunci"/>
      </w:pPr>
    </w:p>
    <w:tbl>
      <w:tblPr>
        <w:tblStyle w:val="TableGrid"/>
        <w:tblW w:w="8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6378"/>
      </w:tblGrid>
      <w:tr w:rsidR="003B604A" w14:paraId="54E81073" w14:textId="77777777" w:rsidTr="003B604A">
        <w:tc>
          <w:tcPr>
            <w:tcW w:w="2122" w:type="dxa"/>
            <w:tcBorders>
              <w:top w:val="single" w:sz="4" w:space="0" w:color="auto"/>
              <w:bottom w:val="single" w:sz="4" w:space="0" w:color="auto"/>
            </w:tcBorders>
            <w:shd w:val="clear" w:color="auto" w:fill="C5E0B3" w:themeFill="accent6" w:themeFillTint="66"/>
          </w:tcPr>
          <w:p w14:paraId="2A0EE296" w14:textId="78058204" w:rsidR="003B604A" w:rsidRPr="00A511F1" w:rsidRDefault="003B604A" w:rsidP="00351D9E">
            <w:pPr>
              <w:pStyle w:val="Heading2"/>
              <w:rPr>
                <w:b/>
                <w:bCs/>
                <w:lang w:val="pt-BR"/>
              </w:rPr>
            </w:pPr>
            <w:r w:rsidRPr="00A511F1">
              <w:rPr>
                <w:b/>
                <w:bCs/>
                <w:lang w:val="pt-BR"/>
              </w:rPr>
              <w:t>Article Info</w:t>
            </w:r>
          </w:p>
        </w:tc>
        <w:tc>
          <w:tcPr>
            <w:tcW w:w="283" w:type="dxa"/>
          </w:tcPr>
          <w:p w14:paraId="00DF9D78" w14:textId="77777777" w:rsidR="003B604A" w:rsidRPr="00A511F1" w:rsidRDefault="003B604A" w:rsidP="00351D9E">
            <w:pPr>
              <w:pStyle w:val="Heading2"/>
              <w:rPr>
                <w:b/>
                <w:bCs/>
              </w:rPr>
            </w:pPr>
          </w:p>
        </w:tc>
        <w:tc>
          <w:tcPr>
            <w:tcW w:w="6378" w:type="dxa"/>
            <w:tcBorders>
              <w:top w:val="single" w:sz="4" w:space="0" w:color="auto"/>
              <w:bottom w:val="single" w:sz="4" w:space="0" w:color="auto"/>
            </w:tcBorders>
            <w:shd w:val="clear" w:color="auto" w:fill="C5E0B3" w:themeFill="accent6" w:themeFillTint="66"/>
          </w:tcPr>
          <w:p w14:paraId="18176771" w14:textId="604D5737" w:rsidR="003B604A" w:rsidRPr="00A511F1" w:rsidRDefault="003B604A" w:rsidP="00351D9E">
            <w:pPr>
              <w:pStyle w:val="Heading2"/>
              <w:rPr>
                <w:b/>
                <w:bCs/>
              </w:rPr>
            </w:pPr>
            <w:r w:rsidRPr="00A511F1">
              <w:rPr>
                <w:b/>
                <w:bCs/>
              </w:rPr>
              <w:t>Abstract</w:t>
            </w:r>
          </w:p>
        </w:tc>
      </w:tr>
      <w:tr w:rsidR="00F5483E" w14:paraId="442C2F25" w14:textId="77777777" w:rsidTr="004A41D2">
        <w:tc>
          <w:tcPr>
            <w:tcW w:w="2122" w:type="dxa"/>
            <w:vMerge w:val="restart"/>
            <w:tcBorders>
              <w:top w:val="single" w:sz="4" w:space="0" w:color="auto"/>
            </w:tcBorders>
          </w:tcPr>
          <w:p w14:paraId="0ACFB461" w14:textId="77777777" w:rsidR="00F5483E" w:rsidRPr="003B604A" w:rsidRDefault="00F5483E" w:rsidP="0037347F">
            <w:pPr>
              <w:pStyle w:val="7Keyword"/>
            </w:pPr>
            <w:r w:rsidRPr="003B604A">
              <w:t>Keywords:</w:t>
            </w:r>
          </w:p>
          <w:p w14:paraId="1EEAEAF1" w14:textId="4907F7F6" w:rsidR="007C6D88" w:rsidRDefault="007C6D88" w:rsidP="007C6D88">
            <w:pPr>
              <w:pStyle w:val="7Keyword"/>
            </w:pPr>
            <w:r>
              <w:t>Early Menopause;</w:t>
            </w:r>
          </w:p>
          <w:p w14:paraId="3543EEAD" w14:textId="77777777" w:rsidR="007C6D88" w:rsidRDefault="007C6D88" w:rsidP="007C6D88">
            <w:pPr>
              <w:pStyle w:val="7Keyword"/>
            </w:pPr>
            <w:r>
              <w:t>Self-Efficacy;</w:t>
            </w:r>
          </w:p>
          <w:p w14:paraId="0A28357F" w14:textId="77777777" w:rsidR="007C6D88" w:rsidRDefault="007C6D88" w:rsidP="007C6D88">
            <w:pPr>
              <w:pStyle w:val="7Keyword"/>
            </w:pPr>
            <w:r>
              <w:t>Empowerment;</w:t>
            </w:r>
          </w:p>
          <w:p w14:paraId="43990A06" w14:textId="77777777" w:rsidR="007C6D88" w:rsidRDefault="007C6D88" w:rsidP="007C6D88">
            <w:pPr>
              <w:pStyle w:val="7Keyword"/>
            </w:pPr>
            <w:r>
              <w:t>Self-Care Education;</w:t>
            </w:r>
          </w:p>
          <w:p w14:paraId="65CBE0AB" w14:textId="2D3168A8" w:rsidR="00F5483E" w:rsidRPr="003B604A" w:rsidRDefault="007C6D88" w:rsidP="007C6D88">
            <w:pPr>
              <w:pStyle w:val="7Keyword"/>
              <w:rPr>
                <w:rFonts w:eastAsiaTheme="majorEastAsia" w:cstheme="majorBidi"/>
              </w:rPr>
            </w:pPr>
            <w:r>
              <w:t>Quality of Life</w:t>
            </w:r>
            <w:r w:rsidR="008576E1">
              <w:t>.</w:t>
            </w:r>
          </w:p>
        </w:tc>
        <w:tc>
          <w:tcPr>
            <w:tcW w:w="283" w:type="dxa"/>
          </w:tcPr>
          <w:p w14:paraId="6C20626B" w14:textId="77777777" w:rsidR="00F5483E" w:rsidRPr="003B604A" w:rsidRDefault="00F5483E" w:rsidP="00F60CE0">
            <w:pPr>
              <w:pStyle w:val="Heading4"/>
              <w:rPr>
                <w:b/>
                <w:bCs w:val="0"/>
                <w:sz w:val="18"/>
                <w:szCs w:val="18"/>
              </w:rPr>
            </w:pPr>
          </w:p>
        </w:tc>
        <w:tc>
          <w:tcPr>
            <w:tcW w:w="6378" w:type="dxa"/>
            <w:tcBorders>
              <w:top w:val="single" w:sz="4" w:space="0" w:color="auto"/>
            </w:tcBorders>
          </w:tcPr>
          <w:p w14:paraId="5976F89B" w14:textId="11F3A598" w:rsidR="00F5483E" w:rsidRPr="00A511F1" w:rsidRDefault="007C6D88" w:rsidP="00F5483E">
            <w:pPr>
              <w:pStyle w:val="Heading4"/>
            </w:pPr>
            <w:r w:rsidRPr="007C6D88">
              <w:rPr>
                <w:b/>
                <w:bCs w:val="0"/>
                <w:szCs w:val="20"/>
              </w:rPr>
              <w:t>Background:</w:t>
            </w:r>
            <w:r>
              <w:rPr>
                <w:szCs w:val="20"/>
              </w:rPr>
              <w:t xml:space="preserve"> Early menopause significantly affects women’s hormonal balance, emotional stability, and social well-being, often leading to reduced quality of life. In Indonesia, awareness and support for women experiencing early menopause remain limited, highlighting the need for effective educational interventions. </w:t>
            </w:r>
            <w:r w:rsidRPr="007C6D88">
              <w:rPr>
                <w:b/>
                <w:bCs w:val="0"/>
                <w:szCs w:val="20"/>
              </w:rPr>
              <w:t>Objective:</w:t>
            </w:r>
            <w:r>
              <w:rPr>
                <w:szCs w:val="20"/>
              </w:rPr>
              <w:t xml:space="preserve"> This study aimed to determine the effect of self-care education based on self-efficacy, empowerment, and their integration on the quality of life of women with Early menopause in Boyolali Regency, Central Java. </w:t>
            </w:r>
            <w:r w:rsidRPr="007C6D88">
              <w:rPr>
                <w:b/>
                <w:bCs w:val="0"/>
                <w:szCs w:val="20"/>
              </w:rPr>
              <w:t>Method:</w:t>
            </w:r>
            <w:r>
              <w:rPr>
                <w:szCs w:val="20"/>
              </w:rPr>
              <w:t xml:space="preserve"> A quasi-experimental design was conducted involving 180 women aged 40–47 years who experienced Early menopause. Participants were divided into three groups: empowerment-based education, self-efficacy-based education, and integrated empowerment self-efficacy education. The intervention consisted of four 90-minute sessions over four weeks. Data were collected using the General Self-Efficacy Scale (GSES), Women Empowerment Scale (WES), and Menopause-Specific Quality of Life (MENQOL), and analyzed using Repeated Measures ANOVA with p &lt; 0.05. </w:t>
            </w:r>
            <w:r w:rsidRPr="007C6D88">
              <w:rPr>
                <w:b/>
                <w:bCs w:val="0"/>
                <w:szCs w:val="20"/>
              </w:rPr>
              <w:t>Results:</w:t>
            </w:r>
            <w:r>
              <w:rPr>
                <w:szCs w:val="20"/>
              </w:rPr>
              <w:t xml:space="preserve"> All groups showed significant improvement in quality-of-life scores after the intervention (p &lt; 0.001), with no significant difference between groups (p &gt; 0.05). </w:t>
            </w:r>
            <w:r w:rsidRPr="007C6D88">
              <w:rPr>
                <w:b/>
                <w:bCs w:val="0"/>
                <w:szCs w:val="20"/>
              </w:rPr>
              <w:t>Conclusion:</w:t>
            </w:r>
            <w:r>
              <w:rPr>
                <w:szCs w:val="20"/>
              </w:rPr>
              <w:t xml:space="preserve"> Self-care education based on self-efficacy, empowerment, and their integration effectively improves quality of life among women with Early menopause and can serve as a practical community-based midwifery intervention</w:t>
            </w:r>
            <w:r w:rsidR="00F5483E" w:rsidRPr="003B604A">
              <w:t xml:space="preserve">. </w:t>
            </w:r>
          </w:p>
        </w:tc>
      </w:tr>
      <w:tr w:rsidR="00F5483E" w14:paraId="4E700DE8" w14:textId="77777777" w:rsidTr="00E2019F">
        <w:tc>
          <w:tcPr>
            <w:tcW w:w="2122" w:type="dxa"/>
            <w:vMerge/>
          </w:tcPr>
          <w:p w14:paraId="465DD156" w14:textId="4E108396" w:rsidR="00F5483E" w:rsidRPr="003B604A" w:rsidRDefault="00F5483E" w:rsidP="0037347F">
            <w:pPr>
              <w:pStyle w:val="7Keyword"/>
            </w:pPr>
          </w:p>
        </w:tc>
        <w:tc>
          <w:tcPr>
            <w:tcW w:w="283" w:type="dxa"/>
          </w:tcPr>
          <w:p w14:paraId="1834A4EA" w14:textId="77777777" w:rsidR="00F5483E" w:rsidRDefault="00F5483E" w:rsidP="002740E1">
            <w:pPr>
              <w:pStyle w:val="9Paragraph0"/>
            </w:pPr>
          </w:p>
        </w:tc>
        <w:tc>
          <w:tcPr>
            <w:tcW w:w="6378" w:type="dxa"/>
          </w:tcPr>
          <w:p w14:paraId="36A7623A" w14:textId="4D874164" w:rsidR="00F5483E" w:rsidRPr="00871BC9" w:rsidRDefault="00F5483E" w:rsidP="00F5483E">
            <w:pPr>
              <w:pStyle w:val="Heading4"/>
              <w:rPr>
                <w:b/>
                <w:bCs w:val="0"/>
              </w:rPr>
            </w:pPr>
          </w:p>
        </w:tc>
      </w:tr>
      <w:tr w:rsidR="00F5483E" w14:paraId="0425CA82" w14:textId="77777777" w:rsidTr="004A41D2">
        <w:tc>
          <w:tcPr>
            <w:tcW w:w="2122" w:type="dxa"/>
            <w:vMerge/>
            <w:tcBorders>
              <w:bottom w:val="single" w:sz="4" w:space="0" w:color="auto"/>
            </w:tcBorders>
          </w:tcPr>
          <w:p w14:paraId="09E81829" w14:textId="77777777" w:rsidR="00F5483E" w:rsidRPr="003B604A" w:rsidRDefault="00F5483E" w:rsidP="0037347F">
            <w:pPr>
              <w:pStyle w:val="7Keyword"/>
            </w:pPr>
          </w:p>
        </w:tc>
        <w:tc>
          <w:tcPr>
            <w:tcW w:w="283" w:type="dxa"/>
          </w:tcPr>
          <w:p w14:paraId="27F38402" w14:textId="77777777" w:rsidR="00F5483E" w:rsidRDefault="00F5483E" w:rsidP="002740E1">
            <w:pPr>
              <w:pStyle w:val="9Paragraph0"/>
            </w:pPr>
          </w:p>
        </w:tc>
        <w:tc>
          <w:tcPr>
            <w:tcW w:w="6378" w:type="dxa"/>
            <w:tcBorders>
              <w:bottom w:val="single" w:sz="4" w:space="0" w:color="auto"/>
            </w:tcBorders>
          </w:tcPr>
          <w:p w14:paraId="441C1386" w14:textId="58E47809" w:rsidR="00F5483E" w:rsidRPr="003B604A" w:rsidRDefault="00F5483E" w:rsidP="00871BC9">
            <w:pPr>
              <w:pStyle w:val="Heading4"/>
              <w:jc w:val="right"/>
              <w:rPr>
                <w:rFonts w:asciiTheme="majorBidi" w:hAnsiTheme="majorBidi"/>
                <w:sz w:val="18"/>
                <w:szCs w:val="18"/>
              </w:rPr>
            </w:pPr>
            <w:r w:rsidRPr="003B604A">
              <w:rPr>
                <w:rFonts w:asciiTheme="majorBidi" w:hAnsiTheme="majorBidi"/>
                <w:sz w:val="18"/>
                <w:szCs w:val="18"/>
              </w:rPr>
              <w:t xml:space="preserve">This is an open-access article under the </w:t>
            </w:r>
            <w:hyperlink r:id="rId14" w:history="1">
              <w:r w:rsidRPr="003B604A">
                <w:rPr>
                  <w:rStyle w:val="Hyperlink"/>
                  <w:rFonts w:asciiTheme="majorBidi" w:hAnsiTheme="majorBidi"/>
                  <w:sz w:val="18"/>
                  <w:szCs w:val="18"/>
                </w:rPr>
                <w:t>CC–BY-SA</w:t>
              </w:r>
            </w:hyperlink>
            <w:r w:rsidRPr="003B604A">
              <w:rPr>
                <w:rFonts w:asciiTheme="majorBidi" w:hAnsiTheme="majorBidi"/>
                <w:sz w:val="18"/>
                <w:szCs w:val="18"/>
              </w:rPr>
              <w:t xml:space="preserve"> license</w:t>
            </w:r>
            <w:r>
              <w:rPr>
                <w:rFonts w:asciiTheme="majorBidi" w:hAnsiTheme="majorBidi"/>
                <w:sz w:val="18"/>
                <w:szCs w:val="18"/>
              </w:rPr>
              <w:t>.</w:t>
            </w:r>
          </w:p>
        </w:tc>
      </w:tr>
    </w:tbl>
    <w:p w14:paraId="75EC6E14" w14:textId="77777777" w:rsidR="00484F2F" w:rsidRDefault="00484F2F" w:rsidP="002740E1">
      <w:pPr>
        <w:pStyle w:val="9Paragraph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2926"/>
        <w:gridCol w:w="2926"/>
      </w:tblGrid>
      <w:tr w:rsidR="00521836" w14:paraId="7B5F4F16" w14:textId="77777777" w:rsidTr="003F5047">
        <w:tc>
          <w:tcPr>
            <w:tcW w:w="2925" w:type="dxa"/>
          </w:tcPr>
          <w:p w14:paraId="3B3646B9" w14:textId="4845D902" w:rsidR="00521836" w:rsidRDefault="00521836" w:rsidP="00CB01E1">
            <w:pPr>
              <w:pStyle w:val="7Keyword"/>
              <w:jc w:val="center"/>
            </w:pPr>
            <w:r w:rsidRPr="0037347F">
              <w:t xml:space="preserve">Received </w:t>
            </w:r>
            <w:r w:rsidR="007C6D88">
              <w:t>19</w:t>
            </w:r>
            <w:r w:rsidRPr="0037347F">
              <w:t>/</w:t>
            </w:r>
            <w:r w:rsidR="007C6D88">
              <w:t>10</w:t>
            </w:r>
            <w:r w:rsidRPr="0037347F">
              <w:t>/</w:t>
            </w:r>
            <w:r w:rsidR="007C6D88">
              <w:t>2025</w:t>
            </w:r>
          </w:p>
        </w:tc>
        <w:tc>
          <w:tcPr>
            <w:tcW w:w="2926" w:type="dxa"/>
          </w:tcPr>
          <w:p w14:paraId="2C43FD14" w14:textId="2F90780A" w:rsidR="00521836" w:rsidRDefault="00521836" w:rsidP="00CB01E1">
            <w:pPr>
              <w:pStyle w:val="7Keyword"/>
              <w:jc w:val="center"/>
            </w:pPr>
            <w:r w:rsidRPr="0037347F">
              <w:t xml:space="preserve">Revised </w:t>
            </w:r>
            <w:r w:rsidR="007C6D88">
              <w:t>01</w:t>
            </w:r>
            <w:r w:rsidRPr="0037347F">
              <w:t>/</w:t>
            </w:r>
            <w:r w:rsidR="007C6D88">
              <w:t>12</w:t>
            </w:r>
            <w:r w:rsidRPr="0037347F">
              <w:t>/</w:t>
            </w:r>
            <w:r w:rsidR="007C6D88">
              <w:t>2025</w:t>
            </w:r>
          </w:p>
        </w:tc>
        <w:tc>
          <w:tcPr>
            <w:tcW w:w="2926" w:type="dxa"/>
          </w:tcPr>
          <w:p w14:paraId="4750A1E3" w14:textId="4A23B642" w:rsidR="00521836" w:rsidRPr="00521836" w:rsidRDefault="00521836" w:rsidP="00CB01E1">
            <w:pPr>
              <w:pStyle w:val="7Keyword"/>
              <w:jc w:val="center"/>
            </w:pPr>
            <w:r w:rsidRPr="003F5047">
              <w:t>Accepted</w:t>
            </w:r>
            <w:r w:rsidRPr="00521836">
              <w:t xml:space="preserve"> </w:t>
            </w:r>
            <w:r w:rsidR="007C6D88">
              <w:t>07</w:t>
            </w:r>
            <w:r w:rsidRPr="00521836">
              <w:t>/</w:t>
            </w:r>
            <w:r w:rsidR="007C6D88">
              <w:t>02</w:t>
            </w:r>
            <w:r w:rsidRPr="00521836">
              <w:t>/</w:t>
            </w:r>
            <w:r w:rsidR="007C6D88">
              <w:t>2026</w:t>
            </w:r>
          </w:p>
        </w:tc>
      </w:tr>
      <w:tr w:rsidR="00521836" w14:paraId="4D87841F" w14:textId="77777777" w:rsidTr="003F5047">
        <w:tc>
          <w:tcPr>
            <w:tcW w:w="2925" w:type="dxa"/>
            <w:tcBorders>
              <w:bottom w:val="single" w:sz="4" w:space="0" w:color="auto"/>
            </w:tcBorders>
          </w:tcPr>
          <w:p w14:paraId="126A0617" w14:textId="77777777" w:rsidR="00521836" w:rsidRDefault="00521836" w:rsidP="00521836">
            <w:pPr>
              <w:pStyle w:val="7Keyword"/>
            </w:pPr>
          </w:p>
        </w:tc>
        <w:tc>
          <w:tcPr>
            <w:tcW w:w="2926" w:type="dxa"/>
            <w:tcBorders>
              <w:bottom w:val="single" w:sz="4" w:space="0" w:color="auto"/>
            </w:tcBorders>
          </w:tcPr>
          <w:p w14:paraId="08786704" w14:textId="77777777" w:rsidR="00521836" w:rsidRDefault="00521836" w:rsidP="00521836">
            <w:pPr>
              <w:pStyle w:val="7Keyword"/>
            </w:pPr>
          </w:p>
        </w:tc>
        <w:tc>
          <w:tcPr>
            <w:tcW w:w="2926" w:type="dxa"/>
            <w:tcBorders>
              <w:bottom w:val="single" w:sz="4" w:space="0" w:color="auto"/>
            </w:tcBorders>
          </w:tcPr>
          <w:p w14:paraId="0E14C2F2" w14:textId="77777777" w:rsidR="00521836" w:rsidRDefault="00521836" w:rsidP="00521836">
            <w:pPr>
              <w:pStyle w:val="7Keyword"/>
            </w:pPr>
          </w:p>
        </w:tc>
      </w:tr>
      <w:tr w:rsidR="00521836" w14:paraId="7FF03E8C" w14:textId="77777777" w:rsidTr="003F5047">
        <w:tc>
          <w:tcPr>
            <w:tcW w:w="8777" w:type="dxa"/>
            <w:gridSpan w:val="3"/>
            <w:tcBorders>
              <w:top w:val="single" w:sz="4" w:space="0" w:color="auto"/>
              <w:bottom w:val="single" w:sz="4" w:space="0" w:color="auto"/>
            </w:tcBorders>
            <w:shd w:val="clear" w:color="auto" w:fill="C5E0B3" w:themeFill="accent6" w:themeFillTint="66"/>
          </w:tcPr>
          <w:p w14:paraId="2EE7713F" w14:textId="7C841FC8" w:rsidR="00521836" w:rsidRPr="00B67D58" w:rsidRDefault="00521836" w:rsidP="00E06D6D">
            <w:pPr>
              <w:pStyle w:val="Heading2"/>
              <w:rPr>
                <w:b/>
                <w:bCs/>
              </w:rPr>
            </w:pPr>
            <w:r w:rsidRPr="00E06D6D">
              <w:rPr>
                <w:b/>
                <w:bCs/>
                <w:lang w:val="pt-BR"/>
              </w:rPr>
              <w:t>How to Cite:</w:t>
            </w:r>
          </w:p>
        </w:tc>
      </w:tr>
      <w:tr w:rsidR="00521836" w14:paraId="6D05AF42" w14:textId="77777777" w:rsidTr="003F5047">
        <w:tc>
          <w:tcPr>
            <w:tcW w:w="8777" w:type="dxa"/>
            <w:gridSpan w:val="3"/>
            <w:tcBorders>
              <w:top w:val="single" w:sz="4" w:space="0" w:color="auto"/>
              <w:bottom w:val="single" w:sz="4" w:space="0" w:color="auto"/>
            </w:tcBorders>
          </w:tcPr>
          <w:p w14:paraId="5CD83211" w14:textId="059B3D3A" w:rsidR="00521836" w:rsidRPr="00F5483E" w:rsidRDefault="00366659" w:rsidP="00521836">
            <w:pPr>
              <w:pStyle w:val="Heading3"/>
              <w:rPr>
                <w:lang w:val="en-ID"/>
              </w:rPr>
            </w:pPr>
            <w:r>
              <w:t>Rahmawati I</w:t>
            </w:r>
            <w:r w:rsidR="00521836" w:rsidRPr="00521836">
              <w:t xml:space="preserve">, </w:t>
            </w:r>
            <w:r>
              <w:t>Dewi RK</w:t>
            </w:r>
            <w:r w:rsidR="00521836" w:rsidRPr="00521836">
              <w:t xml:space="preserve">, </w:t>
            </w:r>
            <w:r>
              <w:t>Dwihestie LK</w:t>
            </w:r>
            <w:r w:rsidR="00521836" w:rsidRPr="00521836">
              <w:t xml:space="preserve">. </w:t>
            </w:r>
            <w:r w:rsidR="00A858AE" w:rsidRPr="00A858AE">
              <w:t>SELF-EFFICACY BASED SELF-CARE EDUCATION AND QUALITY OF LIFE AMONG WOMEN WITH EARLY MENOPAUSE: A QUASI-EXPERIMENTAL STUDY IN BOYOLALI REGENCY, CENTRAL JAVA, INDONESIA</w:t>
            </w:r>
            <w:r w:rsidR="00521836" w:rsidRPr="00521836">
              <w:t xml:space="preserve">. </w:t>
            </w:r>
            <w:r w:rsidR="00521836" w:rsidRPr="00F5483E">
              <w:rPr>
                <w:lang w:val="en-ID"/>
              </w:rPr>
              <w:t xml:space="preserve">J. Kesehat. Reproduksi [Internet]. 2022 Dec. </w:t>
            </w:r>
            <w:r w:rsidR="00A858AE">
              <w:rPr>
                <w:lang w:val="en-ID"/>
              </w:rPr>
              <w:t>16</w:t>
            </w:r>
            <w:r w:rsidR="00521836" w:rsidRPr="00F5483E">
              <w:rPr>
                <w:lang w:val="en-ID"/>
              </w:rPr>
              <w:t>(2):1</w:t>
            </w:r>
            <w:r w:rsidR="00A858AE">
              <w:rPr>
                <w:lang w:val="en-ID"/>
              </w:rPr>
              <w:t>04</w:t>
            </w:r>
            <w:r w:rsidR="00521836" w:rsidRPr="00F5483E">
              <w:rPr>
                <w:lang w:val="en-ID"/>
              </w:rPr>
              <w:t>-</w:t>
            </w:r>
            <w:r w:rsidR="00654B52">
              <w:rPr>
                <w:lang w:val="en-ID"/>
              </w:rPr>
              <w:t>119</w:t>
            </w:r>
            <w:r w:rsidR="00521836" w:rsidRPr="00F5483E">
              <w:rPr>
                <w:lang w:val="en-ID"/>
              </w:rPr>
              <w:t>. Available from: https://doi.org/10.58185/jkr.v1</w:t>
            </w:r>
            <w:r w:rsidR="00A858AE">
              <w:rPr>
                <w:lang w:val="en-ID"/>
              </w:rPr>
              <w:t>6</w:t>
            </w:r>
            <w:r w:rsidR="00521836" w:rsidRPr="00F5483E">
              <w:rPr>
                <w:lang w:val="en-ID"/>
              </w:rPr>
              <w:t>i</w:t>
            </w:r>
            <w:r w:rsidR="00A858AE">
              <w:rPr>
                <w:lang w:val="en-ID"/>
              </w:rPr>
              <w:t>2</w:t>
            </w:r>
            <w:r w:rsidR="00521836" w:rsidRPr="00F5483E">
              <w:rPr>
                <w:lang w:val="en-ID"/>
              </w:rPr>
              <w:t>.</w:t>
            </w:r>
            <w:r w:rsidR="00A858AE">
              <w:rPr>
                <w:lang w:val="en-ID"/>
              </w:rPr>
              <w:t>396</w:t>
            </w:r>
          </w:p>
        </w:tc>
      </w:tr>
    </w:tbl>
    <w:p w14:paraId="022E55F9" w14:textId="77777777" w:rsidR="00484F2F" w:rsidRDefault="00484F2F" w:rsidP="002740E1">
      <w:pPr>
        <w:pStyle w:val="9Paragraph0"/>
      </w:pPr>
    </w:p>
    <w:p w14:paraId="2B4ACDBF" w14:textId="0611F3C2" w:rsidR="00EA44F0" w:rsidRPr="001B4FA6" w:rsidRDefault="00EA44F0" w:rsidP="001B4FA6">
      <w:pPr>
        <w:pStyle w:val="Heading5"/>
      </w:pPr>
      <w:r w:rsidRPr="001B4FA6">
        <w:lastRenderedPageBreak/>
        <w:t>Introduction</w:t>
      </w:r>
    </w:p>
    <w:p w14:paraId="1C678778" w14:textId="12DAC945" w:rsidR="00A858AE" w:rsidRPr="00A858AE" w:rsidRDefault="00A858AE" w:rsidP="00A858AE">
      <w:pPr>
        <w:pStyle w:val="9Paragraph0"/>
      </w:pPr>
      <w:r w:rsidRPr="00A858AE">
        <w:t>Early menopause has become an increasing concern in women’s health, particularly within the fields of midwifery and reproductive health. Menopause occurring before the age of 45 has significant implications for hormonal balance, reproductive function, and women’s psychological and social well-being.¹˒² This condition not only carries clinical consequences but also affects the fulfillment of women’s reproductive health rights, including access to adequate information, autonomous decision-making regarding their bodies and reproductive health, and the continuity of reproductive function during a life stage that is generally expected to remain biologically and socially productive. Furthermore, early menopause may reshape women’s social roles within the family and the wider community, particularly in relation to their roles as mothers, partners, and socially and economically active individuals. Globally, approximately 4% of women experience early menopause, with an increasing trend linked to modern lifestyles, chronic stress, and genetic as well as environmental factors. In Indonesia, public awareness of early menopause remains relatively low, resulting in many women experiencing symptoms without adequate medical or psychological support.³˒⁴ from a life course perspective on women’s health, early menopause represents a critical life event that may influence women’s physical, psychological, and social health trajectories in later stages of life. Ultimately, this condition contributes to a decline in overall quality of life, encompassing physical, emotional, social, and spiritual dimensions</w:t>
      </w:r>
      <w:r w:rsidRPr="008576E1">
        <w:rPr>
          <w:rFonts w:cs="Times New Roman"/>
        </w:rPr>
        <w:t>.³˒⁴</w:t>
      </w:r>
    </w:p>
    <w:p w14:paraId="4AC4B6C6" w14:textId="77777777" w:rsidR="00A858AE" w:rsidRPr="00A858AE" w:rsidRDefault="00A858AE" w:rsidP="00A858AE">
      <w:pPr>
        <w:pStyle w:val="9Paragraph0"/>
        <w:rPr>
          <w:lang w:val="en-US"/>
        </w:rPr>
      </w:pPr>
      <w:r w:rsidRPr="00A858AE">
        <w:rPr>
          <w:lang w:val="en-US"/>
        </w:rPr>
        <w:t>According to the World Health Organization (WHO), quality of life is defined as an individual’s perception of their position in life within the context of the culture and value systems in which they live, and in relation to their goals, expectations, standards, and concerns. Women spend more than one-third of their lifespan in the postmenopausal phase.⁵˒⁶ As a natural physiological process, menopause is frequently accompanied by a range of physical and emotional symptoms that cause discomfort and negatively affect quality of life. Although menopause represents a normal biological transition, the complexity of its symptoms and associated complications necessitates appropriate health education, adaptive coping strategies, and psychological support to enable women to maintain holistic well-being.⁷˒⁸</w:t>
      </w:r>
    </w:p>
    <w:p w14:paraId="77A49BE6" w14:textId="7B2D48BC" w:rsidR="00A858AE" w:rsidRPr="00A858AE" w:rsidRDefault="00A858AE" w:rsidP="00A858AE">
      <w:pPr>
        <w:pStyle w:val="9Paragraph0"/>
        <w:rPr>
          <w:lang w:val="en-US"/>
        </w:rPr>
      </w:pPr>
      <w:r w:rsidRPr="00A858AE">
        <w:rPr>
          <w:lang w:val="en-US"/>
        </w:rPr>
        <w:t>This phenomenon has also been observed in Boyolali Regency, Central Java, where the number of women reporting menopausal symptoms before the age of 45 shows an increasing trend. From a socio-cultural perspective, Boyolali is a semi-rural area characterized by an agrarian community structure and strong gender norms, in which women play central roles in the domestic sphere, family economy, and community social activities. These multiple roles expose women to substantial physical and psychological workloads, while reproductive health issues, including early menopause, are still commonly perceived as natural processes that do not require special attention.⁹</w:t>
      </w:r>
      <w:r w:rsidR="00BB7384" w:rsidRPr="00BB7384">
        <w:rPr>
          <w:vertAlign w:val="superscript"/>
          <w:lang w:val="en-US"/>
        </w:rPr>
        <w:t>-</w:t>
      </w:r>
      <w:r w:rsidRPr="00A858AE">
        <w:rPr>
          <w:lang w:val="en-US"/>
        </w:rPr>
        <w:t xml:space="preserve">¹¹ In terms of access to health services, Boyolali has relatively adequate coverage of primary </w:t>
      </w:r>
      <w:r w:rsidRPr="00A858AE">
        <w:rPr>
          <w:lang w:val="en-US"/>
        </w:rPr>
        <w:lastRenderedPageBreak/>
        <w:t>healthcare facilities through an extensive network of community health centers (</w:t>
      </w:r>
      <w:r w:rsidRPr="00A858AE">
        <w:rPr>
          <w:i/>
          <w:iCs/>
          <w:lang w:val="en-US"/>
        </w:rPr>
        <w:t>puskesmas</w:t>
      </w:r>
      <w:r w:rsidRPr="00A858AE">
        <w:rPr>
          <w:lang w:val="en-US"/>
        </w:rPr>
        <w:t>) and community health volunteers. However, promotive and preventive services that specifically target women’s reproductive health during the menopausal transition, particularly early menopause, remain insufficiently structured and have not yet become a primary focus of community health programs. Modern lifestyle patterns, heavy workloads, and psychological stress among women working in the informal sector further exacerbate vulnerability to early menopause.</w:t>
      </w:r>
    </w:p>
    <w:p w14:paraId="00FDBBD2" w14:textId="77777777" w:rsidR="00A858AE" w:rsidRPr="00A858AE" w:rsidRDefault="00A858AE" w:rsidP="00A858AE">
      <w:pPr>
        <w:pStyle w:val="9Paragraph0"/>
        <w:rPr>
          <w:lang w:val="en-US"/>
        </w:rPr>
      </w:pPr>
      <w:r w:rsidRPr="00A858AE">
        <w:rPr>
          <w:lang w:val="en-US"/>
        </w:rPr>
        <w:t>As a semi-rural region undergoing social and economic transition, Boyolali reflects the conditions of many areas in Indonesia that face similar challenges in women’s health. In addition to causing hormonal disturbances and impaired reproductive function, early menopause may adversely affect mental health, trigger sleep disorders and anxiety, and weaken women’s adaptive capacity in response to physiological changes. Therefore, women experiencing early menopause require structured self-care education to effectively manage symptoms, adapt to bodily changes, and enhance overall quality of life.</w:t>
      </w:r>
    </w:p>
    <w:p w14:paraId="211B251B" w14:textId="70ABF72E" w:rsidR="00A858AE" w:rsidRPr="00A858AE" w:rsidRDefault="00A858AE" w:rsidP="00A858AE">
      <w:pPr>
        <w:pStyle w:val="9Paragraph0"/>
        <w:rPr>
          <w:lang w:val="en-US"/>
        </w:rPr>
      </w:pPr>
      <w:r w:rsidRPr="00A858AE">
        <w:rPr>
          <w:lang w:val="en-US"/>
        </w:rPr>
        <w:t>A growing body of evidence indicates that educational interventions and group-based training programs for menopausal women can improve knowledge, strengthen social support, and foster more positive perceptions of life.¹²˒¹³ Such interventions are effective not only in reducing physical symptoms, such as hot flushes and sleep disturbances, but also in enhancing psychological and social well-being. Furthermore, effective educational approaches have been shown to improve life skills, strengthen women’s capacity to cope with menopausal symptoms, and enhance quality of life within a relatively short period of time.¹⁴</w:t>
      </w:r>
      <w:r w:rsidR="00BB7384" w:rsidRPr="00BB7384">
        <w:rPr>
          <w:vertAlign w:val="superscript"/>
          <w:lang w:val="en-US"/>
        </w:rPr>
        <w:t>-</w:t>
      </w:r>
      <w:r w:rsidRPr="00A858AE">
        <w:rPr>
          <w:lang w:val="en-US"/>
        </w:rPr>
        <w:t>¹⁶</w:t>
      </w:r>
    </w:p>
    <w:p w14:paraId="296B5108" w14:textId="77777777" w:rsidR="00A858AE" w:rsidRPr="00A858AE" w:rsidRDefault="00A858AE" w:rsidP="00A858AE">
      <w:pPr>
        <w:pStyle w:val="9Paragraph0"/>
        <w:rPr>
          <w:lang w:val="en-US"/>
        </w:rPr>
      </w:pPr>
      <w:r w:rsidRPr="00A858AE">
        <w:rPr>
          <w:lang w:val="en-US"/>
        </w:rPr>
        <w:t>One of the key concepts proven to be effective in enhancing women’s well-being during menopause is empowerment. Empowerment is a social process that involves the recognition, strengthening, and enhancement of individuals’ capacities to meet their needs, solve problems, and exercise control over their lives.¹⁷˒¹⁸ According to Sarah Longwe’s empowerment framework, empowerment comprises five progressive stages: equality, access, awareness, participation, and control. In practical terms, empowerment supports women experiencing early menopause in addressing social stigma that often frames menopause as a sign of premature ageing or diminished female roles by fostering awareness and self-confidence, enabling them to interpret the condition as a biological process that can be managed in a healthy manner. Furthermore, empowerment strengthens women’s capacity to adapt to changing roles within the family and society, including maintaining social participation, productivity, and interpersonal relationships. From a health decision-making perspective, empowered women are better equipped to make appropriate self-care choices, access necessary health services, and actively communicate with healthcare providers regarding their symptoms and health needs.</w:t>
      </w:r>
    </w:p>
    <w:p w14:paraId="1510652E" w14:textId="77777777" w:rsidR="00A858AE" w:rsidRPr="00A858AE" w:rsidRDefault="00A858AE" w:rsidP="00A858AE">
      <w:pPr>
        <w:pStyle w:val="9Paragraph0"/>
        <w:rPr>
          <w:lang w:val="en-US"/>
        </w:rPr>
      </w:pPr>
      <w:r w:rsidRPr="00A858AE">
        <w:rPr>
          <w:lang w:val="en-US"/>
        </w:rPr>
        <w:lastRenderedPageBreak/>
        <w:t>In addition to empowerment, another important psychological factor influencing quality of life is self-efficacy, defined as an individual’s belief in their capability to perform the actions required to achieve desired outcomes. According to Albert Bandura, self-efficacy shapes how individuals think, feel, and behave when facing challenges.¹⁰ Empirical evidence consistently demonstrates a positive association between self-efficacy and quality of life, whereby women with higher levels of self-efficacy are better able to adapt to change, manage stress effectively, and adopt healthy lifestyles. Conversely, low self-efficacy is frequently associated with increased anxiety and depression, as well as diminished psychological well-being.¹⁹˒²⁰</w:t>
      </w:r>
    </w:p>
    <w:p w14:paraId="3106598F" w14:textId="77777777" w:rsidR="00A858AE" w:rsidRPr="00A858AE" w:rsidRDefault="00A858AE" w:rsidP="00A858AE">
      <w:pPr>
        <w:pStyle w:val="9Paragraph0"/>
        <w:rPr>
          <w:lang w:val="en-US"/>
        </w:rPr>
      </w:pPr>
      <w:r w:rsidRPr="00A858AE">
        <w:rPr>
          <w:lang w:val="en-US"/>
        </w:rPr>
        <w:t>In the context of early menopause, self-efficacy can be strengthened through self-care education. Self-care encompasses a range of individual activities aimed at maintaining health, preventing disease, and enhancing overall well-being. Through self-efficacy–based self-care education, women are encouraged to recognize their symptoms, engage in self-management practices, and develop positive habits in navigating the menopausal transition.¹ Enhancement of self-care capacity directly reinforces women’s confidence in their ability to manage physical and psychological changes (self-efficacy), which in turn contributes to improvements in physical, emotional, and social dimensions of quality of life. International studies have demonstrated that self-care training improves adaptive capacity, strengthens self-confidence, and enhances quality-of-life scores among postmenopausal women.²¹˒²²</w:t>
      </w:r>
    </w:p>
    <w:p w14:paraId="5BA69BDA" w14:textId="77777777" w:rsidR="00A858AE" w:rsidRPr="00A858AE" w:rsidRDefault="00A858AE" w:rsidP="00A858AE">
      <w:pPr>
        <w:pStyle w:val="9Paragraph0"/>
        <w:rPr>
          <w:lang w:val="en-US"/>
        </w:rPr>
      </w:pPr>
      <w:r w:rsidRPr="00A858AE">
        <w:rPr>
          <w:lang w:val="en-US"/>
        </w:rPr>
        <w:t>Nevertheless, most previous studies have been conducted in international settings and have predominantly focused on postmenopausal women, thereby failing to adequately address the specific needs of women experiencing early menopause. In Indonesia, research on early menopause remains extremely limited, particularly studies that explicitly examine self-care–based educational interventions.²³ To date, no study has specifically focused on women with early menopause using an integrated approach that combines self-efficacy theory and Sarah Longwe’s women’s empowerment model, implemented within a community-based primary healthcare setting (</w:t>
      </w:r>
      <w:r w:rsidRPr="00A858AE">
        <w:rPr>
          <w:i/>
          <w:iCs/>
          <w:lang w:val="en-US"/>
        </w:rPr>
        <w:t>puskesmas</w:t>
      </w:r>
      <w:r w:rsidRPr="00A858AE">
        <w:rPr>
          <w:lang w:val="en-US"/>
        </w:rPr>
        <w:t>). The absence of such a comprehensive approach highlights a significant scientific gap and underscores the novelty of this study in developing a contextual, applicable, and relevant self-care education model for women experiencing early menopause in agrarian semi-rural regions such as Boyolali Regency.</w:t>
      </w:r>
    </w:p>
    <w:p w14:paraId="34105130" w14:textId="21B5D4AC" w:rsidR="00504C82" w:rsidRPr="00A858AE" w:rsidRDefault="00A858AE" w:rsidP="00A858AE">
      <w:pPr>
        <w:pStyle w:val="9Paragraph0"/>
      </w:pPr>
      <w:r w:rsidRPr="00A858AE">
        <w:rPr>
          <w:lang w:val="en-US"/>
        </w:rPr>
        <w:t xml:space="preserve">Considering that women spend a substantial proportion of their lives in the postmenopausal phase, this study aims to develop and evaluate the effectiveness of a self-care education program grounded in self-efficacy theory and empowerment models in improving the quality of life of women experiencing early menopause in Boyolali Regency. This integrative approach is expected to enhance women’s self-efficacy and self-care capacity while simultaneously strengthening autonomy, psychological resilience, and adaptive competence in response to biological, psychological, and social changes occurring earlier in the reproductive life course. By positioning the intervention at the </w:t>
      </w:r>
      <w:r w:rsidRPr="00A858AE">
        <w:rPr>
          <w:lang w:val="en-US"/>
        </w:rPr>
        <w:lastRenderedPageBreak/>
        <w:t>early stage of the menopausal transition, this study is anticipated to contribute novel insights into the development of community-based women’s health education models and to serve as a foundation for the implementation of contextual and sustainable promotive–preventive services within primary healthcare systems</w:t>
      </w:r>
      <w:r w:rsidR="00504C82" w:rsidRPr="00A858AE">
        <w:t>.</w:t>
      </w:r>
    </w:p>
    <w:p w14:paraId="5E52D1A6" w14:textId="77777777" w:rsidR="005F7F36" w:rsidRPr="000332AE" w:rsidRDefault="005F7F36" w:rsidP="001B4FA6">
      <w:pPr>
        <w:pStyle w:val="Heading5"/>
        <w:rPr>
          <w:lang w:val="en-AU"/>
        </w:rPr>
      </w:pPr>
      <w:r w:rsidRPr="000332AE">
        <w:rPr>
          <w:lang w:val="en-AU"/>
        </w:rPr>
        <w:t>METHODS</w:t>
      </w:r>
    </w:p>
    <w:p w14:paraId="6F348E51" w14:textId="77777777" w:rsidR="00BB7384" w:rsidRDefault="00BB7384" w:rsidP="00BB7384">
      <w:pPr>
        <w:spacing w:before="0" w:after="0"/>
        <w:jc w:val="left"/>
        <w:rPr>
          <w:sz w:val="24"/>
          <w:szCs w:val="24"/>
        </w:rPr>
      </w:pPr>
      <w:r>
        <w:rPr>
          <w:sz w:val="24"/>
          <w:szCs w:val="24"/>
        </w:rPr>
        <w:t>Study Design and Setting</w:t>
      </w:r>
    </w:p>
    <w:p w14:paraId="4E44B6C8" w14:textId="77777777" w:rsidR="00BB7384" w:rsidRDefault="00BB7384" w:rsidP="00BB7384">
      <w:pPr>
        <w:pStyle w:val="9Paragraph0"/>
      </w:pPr>
      <w:r>
        <w:t>This study employed a quasi-experimental design involving three intervention groups receiving self-care education: (1) an empowerment-based education group, (2) a self-efficacy–based education group, and (3) an integrated empowerment and self-efficacy education group. The study was conducted in Boyolali Regency, Central Java Province, Indonesia, between July and September 2025. This design was selected to evaluate the comparative effectiveness of different educational approaches in improving self-care capacity and quality of life among women experiencing early menopause.</w:t>
      </w:r>
    </w:p>
    <w:p w14:paraId="3D24EC26" w14:textId="77777777" w:rsidR="00BB7384" w:rsidRDefault="00BB7384" w:rsidP="00BB7384">
      <w:pPr>
        <w:pStyle w:val="10Heading2"/>
        <w:rPr>
          <w:lang w:val="en-AU" w:eastAsia="en-ID"/>
        </w:rPr>
      </w:pPr>
      <w:r>
        <w:t>Study Area</w:t>
      </w:r>
    </w:p>
    <w:p w14:paraId="4C84514F" w14:textId="77777777" w:rsidR="00BB7384" w:rsidRDefault="00BB7384" w:rsidP="00BB7384">
      <w:pPr>
        <w:pStyle w:val="9Paragraph0"/>
      </w:pPr>
      <w:r>
        <w:t>The study was implemented across three community health center (</w:t>
      </w:r>
      <w:r>
        <w:rPr>
          <w:i/>
          <w:iCs/>
        </w:rPr>
        <w:t>puskesmas</w:t>
      </w:r>
      <w:r>
        <w:t>) service areas that were purposively selected in coordination with the Boyolali District Health Office due to their broad geographical coverage and relatively high number of women experiencing early menopause. These included Ampel II Health Center in the southern zone (serving Tanduk and Banyuanyar villages), Mojosongo Health Center in the central zone (serving Dlingo village), and Teras Health Center in the northern zone (serving Randusari village). Collectively, these areas represent diverse social, economic, and cultural characteristics while remaining relatively homogeneous in terms of access to basic primary healthcare services.</w:t>
      </w:r>
    </w:p>
    <w:p w14:paraId="0B3025EF" w14:textId="77777777" w:rsidR="00BB7384" w:rsidRDefault="00BB7384" w:rsidP="00BB7384">
      <w:pPr>
        <w:pStyle w:val="10Heading2"/>
        <w:rPr>
          <w:lang w:val="en-AU" w:eastAsia="en-ID"/>
        </w:rPr>
      </w:pPr>
      <w:r>
        <w:t>Participants</w:t>
      </w:r>
    </w:p>
    <w:p w14:paraId="512BFA52" w14:textId="77777777" w:rsidR="00BB7384" w:rsidRDefault="00BB7384" w:rsidP="00BB7384">
      <w:pPr>
        <w:pStyle w:val="9Paragraph0"/>
      </w:pPr>
      <w:r>
        <w:t>The study population consisted of women aged 40–47 years who had experienced early menopause, defined as the permanent cessation of menstruation for at least twelve consecutive months before the age of 45 years. All participants resided within the service areas of the selected community health centers in Boyolali Regency.</w:t>
      </w:r>
    </w:p>
    <w:p w14:paraId="1F2EF3FB" w14:textId="77777777" w:rsidR="00BB7384" w:rsidRDefault="00BB7384" w:rsidP="00BB7384">
      <w:pPr>
        <w:pStyle w:val="10Heading2"/>
      </w:pPr>
      <w:r>
        <w:t>Inclusion Criteria</w:t>
      </w:r>
    </w:p>
    <w:p w14:paraId="6752B601" w14:textId="77777777" w:rsidR="00BB7384" w:rsidRDefault="00BB7384" w:rsidP="008576E1">
      <w:pPr>
        <w:pStyle w:val="9Paragraph0"/>
        <w:spacing w:before="0"/>
        <w:ind w:firstLine="0"/>
      </w:pPr>
      <w:r>
        <w:t>Participants were eligible for inclusion if they met the following criteria:</w:t>
      </w:r>
    </w:p>
    <w:p w14:paraId="4F3BDD0C" w14:textId="77777777" w:rsidR="00BB7384" w:rsidRDefault="00BB7384" w:rsidP="008576E1">
      <w:pPr>
        <w:pStyle w:val="9Paragraph0"/>
        <w:numPr>
          <w:ilvl w:val="0"/>
          <w:numId w:val="19"/>
        </w:numPr>
        <w:spacing w:before="0" w:line="240" w:lineRule="auto"/>
      </w:pPr>
      <w:r>
        <w:t>Were aged 40–47 years;</w:t>
      </w:r>
    </w:p>
    <w:p w14:paraId="1A1AEA82" w14:textId="77777777" w:rsidR="00BB7384" w:rsidRDefault="00BB7384" w:rsidP="008576E1">
      <w:pPr>
        <w:pStyle w:val="9Paragraph0"/>
        <w:numPr>
          <w:ilvl w:val="0"/>
          <w:numId w:val="19"/>
        </w:numPr>
        <w:spacing w:before="0" w:line="240" w:lineRule="auto"/>
      </w:pPr>
      <w:r>
        <w:t>Had experienced amenorrhea for at least twelve consecutive months;</w:t>
      </w:r>
    </w:p>
    <w:p w14:paraId="1F9A43D0" w14:textId="77777777" w:rsidR="00BB7384" w:rsidRDefault="00BB7384" w:rsidP="008576E1">
      <w:pPr>
        <w:pStyle w:val="9Paragraph0"/>
        <w:numPr>
          <w:ilvl w:val="0"/>
          <w:numId w:val="19"/>
        </w:numPr>
        <w:spacing w:before="0" w:line="240" w:lineRule="auto"/>
      </w:pPr>
      <w:r>
        <w:t>Were not undergoing hormone replacement therapy or consuming phytoestrogen supplements;</w:t>
      </w:r>
    </w:p>
    <w:p w14:paraId="0DFBC582" w14:textId="77777777" w:rsidR="00BB7384" w:rsidRDefault="00BB7384" w:rsidP="008576E1">
      <w:pPr>
        <w:pStyle w:val="9Paragraph0"/>
        <w:numPr>
          <w:ilvl w:val="0"/>
          <w:numId w:val="19"/>
        </w:numPr>
        <w:spacing w:before="0" w:line="240" w:lineRule="auto"/>
      </w:pPr>
      <w:r>
        <w:t>Did not have severe chronic conditions such as diabetes mellitus, thyroid disorders, or cancer;</w:t>
      </w:r>
    </w:p>
    <w:p w14:paraId="7CD975A6" w14:textId="77777777" w:rsidR="00BB7384" w:rsidRDefault="00BB7384" w:rsidP="008576E1">
      <w:pPr>
        <w:pStyle w:val="9Paragraph0"/>
        <w:numPr>
          <w:ilvl w:val="0"/>
          <w:numId w:val="19"/>
        </w:numPr>
        <w:spacing w:before="0" w:line="240" w:lineRule="auto"/>
      </w:pPr>
      <w:r>
        <w:t>Were able to communicate effectively in the Indonesian language; and</w:t>
      </w:r>
    </w:p>
    <w:p w14:paraId="1356C6B7" w14:textId="3D518EA0" w:rsidR="00BB7384" w:rsidRDefault="00BB7384" w:rsidP="008576E1">
      <w:pPr>
        <w:pStyle w:val="9Paragraph0"/>
        <w:numPr>
          <w:ilvl w:val="0"/>
          <w:numId w:val="19"/>
        </w:numPr>
        <w:spacing w:before="0" w:line="240" w:lineRule="auto"/>
      </w:pPr>
      <w:r>
        <w:lastRenderedPageBreak/>
        <w:t>Were willing to attend all intervention sessions according to the predetermined schedule.</w:t>
      </w:r>
    </w:p>
    <w:p w14:paraId="031205DE" w14:textId="77777777" w:rsidR="00BB7384" w:rsidRDefault="00BB7384" w:rsidP="00BB7384">
      <w:pPr>
        <w:pStyle w:val="10Heading2"/>
      </w:pPr>
      <w:r>
        <w:t>Exclusion Criteria</w:t>
      </w:r>
    </w:p>
    <w:p w14:paraId="722DB476" w14:textId="77777777" w:rsidR="00BB7384" w:rsidRDefault="00BB7384" w:rsidP="00BB7384">
      <w:pPr>
        <w:pStyle w:val="9Paragraph0"/>
        <w:ind w:firstLine="0"/>
      </w:pPr>
      <w:r>
        <w:t>Participants were excluded if they:</w:t>
      </w:r>
    </w:p>
    <w:p w14:paraId="76ACFF07" w14:textId="77777777" w:rsidR="00BB7384" w:rsidRDefault="00BB7384" w:rsidP="008576E1">
      <w:pPr>
        <w:pStyle w:val="9Paragraph0"/>
        <w:numPr>
          <w:ilvl w:val="0"/>
          <w:numId w:val="20"/>
        </w:numPr>
        <w:spacing w:before="0" w:line="240" w:lineRule="auto"/>
      </w:pPr>
      <w:r>
        <w:t>Were absent from more than one intervention session;</w:t>
      </w:r>
    </w:p>
    <w:p w14:paraId="7135F3B1" w14:textId="77777777" w:rsidR="00BB7384" w:rsidRDefault="00BB7384" w:rsidP="008576E1">
      <w:pPr>
        <w:pStyle w:val="9Paragraph0"/>
        <w:numPr>
          <w:ilvl w:val="0"/>
          <w:numId w:val="20"/>
        </w:numPr>
        <w:spacing w:before="0" w:line="240" w:lineRule="auto"/>
      </w:pPr>
      <w:r>
        <w:t>Voluntarily withdrew during the course of the study; or</w:t>
      </w:r>
    </w:p>
    <w:p w14:paraId="4E66E32A" w14:textId="0C4FECA3" w:rsidR="00BB7384" w:rsidRDefault="00BB7384" w:rsidP="008576E1">
      <w:pPr>
        <w:pStyle w:val="9Paragraph0"/>
        <w:numPr>
          <w:ilvl w:val="0"/>
          <w:numId w:val="20"/>
        </w:numPr>
        <w:spacing w:before="0" w:line="240" w:lineRule="auto"/>
      </w:pPr>
      <w:r>
        <w:t>Experienced significant health changes that could potentially influence the study outcomes.</w:t>
      </w:r>
    </w:p>
    <w:p w14:paraId="5C258F5C" w14:textId="77777777" w:rsidR="00BB7384" w:rsidRDefault="00BB7384" w:rsidP="00BB7384">
      <w:pPr>
        <w:pStyle w:val="10Heading2"/>
        <w:rPr>
          <w:lang w:val="en-AU" w:eastAsia="en-ID"/>
        </w:rPr>
      </w:pPr>
      <w:r>
        <w:t>Sampling and Group Allocation</w:t>
      </w:r>
    </w:p>
    <w:p w14:paraId="27F992BE" w14:textId="77777777" w:rsidR="00BB7384" w:rsidRDefault="00BB7384" w:rsidP="00BB7384">
      <w:pPr>
        <w:pStyle w:val="9Paragraph0"/>
      </w:pPr>
      <w:r>
        <w:t>Sampling was conducted using a purposive random sampling technique based on the registry of women with early menopause maintained at each selected community health center. Participant recruitment was carried out in collaboration with village health cadres. Eligible women were contacted either directly or by telephone and were provided with detailed information regarding the study objectives, procedures, potential benefits, and possible risks. Women who agreed to participate and met the eligibility criteria provided written informed consent prior to enrolment.</w:t>
      </w:r>
    </w:p>
    <w:p w14:paraId="2C7F4017" w14:textId="77777777" w:rsidR="00BB7384" w:rsidRDefault="00BB7384" w:rsidP="00BB7384">
      <w:pPr>
        <w:pStyle w:val="9Paragraph0"/>
      </w:pPr>
      <w:r>
        <w:t>The sample size was calculated using a formula for comparing mean differences across three intervention groups with a 95% confidence level (α = 0.05) and a statistical power of 90% (β = 0.10). The minimum required sample size was 52 participants per group. To account for an anticipated dropout rate of 20%, the final sample size was set at 60 participants per group, resulting in a total sample of 180 women with early menopause.</w:t>
      </w:r>
    </w:p>
    <w:p w14:paraId="28CA8D9F" w14:textId="77777777" w:rsidR="00BB7384" w:rsidRDefault="00BB7384" w:rsidP="00BB7384">
      <w:pPr>
        <w:pStyle w:val="9Paragraph0"/>
      </w:pPr>
      <w:r>
        <w:t>Initially, 180 women with early menopause were enrolled and evenly allocated to the three intervention groups (60 participants per group). To minimize the risk of information contamination between groups, each community health center was randomly assigned to a single type of intervention using simple randomization. Ampel II Health Center (southern zone) was assigned to the empowerment-based education group, Mojosongo Health Center (central zone) to the self-efficacy–based education group, and Teras Health Center (northern zone) to the integrated empowerment and self-efficacy education group.</w:t>
      </w:r>
    </w:p>
    <w:p w14:paraId="7DA7C960" w14:textId="77777777" w:rsidR="00BB7384" w:rsidRDefault="00BB7384" w:rsidP="00BB7384">
      <w:pPr>
        <w:pStyle w:val="9Paragraph0"/>
      </w:pPr>
      <w:r>
        <w:t>During the intervention period, several participants were unable to complete all sessions due to inconsistent attendance, limited time availability, and incomplete questionnaire responses. Consequently, three participants withdrew from the empowerment-based education group, two from the self-efficacy–based education group, and four from the integrated group. The final analytical sample therefore consisted of 57 women in the empowerment-based education group, 58 women in the self-efficacy–based education group, and 56 women in the integrated group, yielding a total of 171 participants included in the analysis.</w:t>
      </w:r>
    </w:p>
    <w:p w14:paraId="28E5660E" w14:textId="77777777" w:rsidR="00BB7384" w:rsidRDefault="00BB7384" w:rsidP="00BB7384">
      <w:pPr>
        <w:pStyle w:val="10Heading2"/>
        <w:rPr>
          <w:lang w:val="en-AU" w:eastAsia="en-ID"/>
        </w:rPr>
      </w:pPr>
      <w:r>
        <w:t>Intervention Procedures</w:t>
      </w:r>
    </w:p>
    <w:p w14:paraId="0388FC6F" w14:textId="77777777" w:rsidR="00BB7384" w:rsidRDefault="00BB7384" w:rsidP="00BB7384">
      <w:pPr>
        <w:pStyle w:val="9Paragraph0"/>
      </w:pPr>
      <w:r>
        <w:lastRenderedPageBreak/>
        <w:t>The intervention was implemented over a four-week period (July–September 2025) at each community health center and comprised four face-to-face training sessions, each lasting approximately 90 minutes. The sessions were facilitated by the principal investigator in collaboration with local healthcare personnel and community health cadres. The first two sessions focused on general self-care education related to early menopause, including balanced nutrition, physical activity, stress and sleep management, osteoporosis prevention, and the maintenance of sexual health and body image. The subsequent two sessions were tailored to the specific educational approach assigned to each group. The empowerment-based education group followed Sarah Longwe’s empowerment framework, the self-efficacy–based education group was guided by Albert Bandura’s self-efficacy theory, and the integrated group combined both theoretical frameworks into a cohesive educational model.</w:t>
      </w:r>
    </w:p>
    <w:p w14:paraId="2C1AAD4E" w14:textId="5293E89C" w:rsidR="005F7F36" w:rsidRDefault="00BB7384" w:rsidP="00BB7384">
      <w:pPr>
        <w:pStyle w:val="9Paragraph0"/>
      </w:pPr>
      <w:r>
        <w:t>The training materials were developed based on current midwifery literature and World Health Organization (WHO) guidelines on women’s health during menopause and were reviewed and validated by experts in community midwifery, nutrition, and clinical psychology. Educational media included a structured educational booklet, interactive presentation slides, and a self-care reflection diary designed to enhance participant engagement, facilitate self-monitoring, and support behavioral adaptation throughout the intervention process.</w:t>
      </w:r>
    </w:p>
    <w:p w14:paraId="3D244718" w14:textId="77777777" w:rsidR="00BB7384" w:rsidRDefault="00BB7384" w:rsidP="00BB7384">
      <w:pPr>
        <w:pStyle w:val="10TableandFigureName"/>
      </w:pPr>
      <w:r w:rsidRPr="004F5547">
        <w:rPr>
          <w:rFonts w:eastAsia="Times New Roman"/>
          <w:b/>
          <w:bCs/>
          <w:color w:val="4472C4" w:themeColor="accent1"/>
          <w:lang w:eastAsia="id-ID"/>
        </w:rPr>
        <w:t>Table 1.</w:t>
      </w:r>
      <w:r w:rsidRPr="00BB7384">
        <w:rPr>
          <w:color w:val="5B9BD5" w:themeColor="accent5"/>
        </w:rPr>
        <w:t xml:space="preserve"> </w:t>
      </w:r>
      <w:r>
        <w:t>Training Content Structured According to Theoretical Models in Each Intervention Group</w:t>
      </w:r>
    </w:p>
    <w:tbl>
      <w:tblPr>
        <w:tblStyle w:val="TableGrid1"/>
        <w:tblW w:w="9502" w:type="dxa"/>
        <w:tblLook w:val="04A0" w:firstRow="1" w:lastRow="0" w:firstColumn="1" w:lastColumn="0" w:noHBand="0" w:noVBand="1"/>
      </w:tblPr>
      <w:tblGrid>
        <w:gridCol w:w="2245"/>
        <w:gridCol w:w="4140"/>
        <w:gridCol w:w="3117"/>
      </w:tblGrid>
      <w:tr w:rsidR="00BB7384" w:rsidRPr="00BB7384" w14:paraId="2CC1C98B" w14:textId="77777777" w:rsidTr="00C14B59">
        <w:tc>
          <w:tcPr>
            <w:tcW w:w="2245" w:type="dxa"/>
            <w:vAlign w:val="center"/>
          </w:tcPr>
          <w:p w14:paraId="39E50D1B" w14:textId="77777777" w:rsidR="00BB7384" w:rsidRPr="00BB7384" w:rsidRDefault="00BB7384" w:rsidP="00BB7384">
            <w:pPr>
              <w:spacing w:before="0" w:after="0"/>
              <w:rPr>
                <w:rFonts w:eastAsia="Times New Roman" w:cs="Times New Roman"/>
                <w:b w:val="0"/>
                <w:color w:val="auto"/>
                <w:sz w:val="20"/>
                <w:szCs w:val="20"/>
              </w:rPr>
            </w:pPr>
            <w:r w:rsidRPr="00BB7384">
              <w:rPr>
                <w:rFonts w:eastAsia="Times New Roman" w:cs="Times New Roman"/>
                <w:b w:val="0"/>
                <w:color w:val="auto"/>
                <w:sz w:val="20"/>
                <w:szCs w:val="20"/>
              </w:rPr>
              <w:t>Group</w:t>
            </w:r>
          </w:p>
        </w:tc>
        <w:tc>
          <w:tcPr>
            <w:tcW w:w="4140" w:type="dxa"/>
            <w:vAlign w:val="center"/>
          </w:tcPr>
          <w:p w14:paraId="2334871F" w14:textId="77777777" w:rsidR="00BB7384" w:rsidRPr="00BB7384" w:rsidRDefault="00BB7384" w:rsidP="00BB7384">
            <w:pPr>
              <w:spacing w:before="0" w:after="0"/>
              <w:rPr>
                <w:rFonts w:eastAsia="Times New Roman" w:cs="Times New Roman"/>
                <w:b w:val="0"/>
                <w:color w:val="auto"/>
                <w:sz w:val="20"/>
                <w:szCs w:val="20"/>
              </w:rPr>
            </w:pPr>
            <w:r w:rsidRPr="00BB7384">
              <w:rPr>
                <w:rFonts w:eastAsia="Times New Roman" w:cs="Times New Roman"/>
                <w:b w:val="0"/>
                <w:color w:val="auto"/>
                <w:sz w:val="20"/>
                <w:szCs w:val="20"/>
              </w:rPr>
              <w:t>Training Content</w:t>
            </w:r>
          </w:p>
        </w:tc>
        <w:tc>
          <w:tcPr>
            <w:tcW w:w="3117" w:type="dxa"/>
            <w:vAlign w:val="center"/>
          </w:tcPr>
          <w:p w14:paraId="31308096" w14:textId="77777777" w:rsidR="00BB7384" w:rsidRPr="00BB7384" w:rsidRDefault="00BB7384" w:rsidP="00BB7384">
            <w:pPr>
              <w:spacing w:before="0" w:after="0"/>
              <w:rPr>
                <w:rFonts w:eastAsia="Times New Roman" w:cs="Times New Roman"/>
                <w:b w:val="0"/>
                <w:color w:val="auto"/>
                <w:sz w:val="20"/>
                <w:szCs w:val="20"/>
              </w:rPr>
            </w:pPr>
            <w:r w:rsidRPr="00BB7384">
              <w:rPr>
                <w:rFonts w:eastAsia="Times New Roman" w:cs="Times New Roman"/>
                <w:b w:val="0"/>
                <w:color w:val="auto"/>
                <w:sz w:val="20"/>
                <w:szCs w:val="20"/>
              </w:rPr>
              <w:t>Theoretical Stages and Model Components</w:t>
            </w:r>
          </w:p>
        </w:tc>
      </w:tr>
      <w:tr w:rsidR="00BB7384" w:rsidRPr="00BB7384" w14:paraId="19A7B5F6" w14:textId="77777777" w:rsidTr="00C14B59">
        <w:tc>
          <w:tcPr>
            <w:tcW w:w="2245" w:type="dxa"/>
            <w:vAlign w:val="center"/>
          </w:tcPr>
          <w:p w14:paraId="215DA52D"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 xml:space="preserve">Empowerment Group </w:t>
            </w:r>
            <w:r w:rsidRPr="00BB7384">
              <w:rPr>
                <w:rFonts w:eastAsia="Times New Roman" w:cs="Times New Roman"/>
                <w:b w:val="0"/>
                <w:color w:val="auto"/>
                <w:sz w:val="20"/>
                <w:szCs w:val="20"/>
              </w:rPr>
              <w:br/>
              <w:t>(Ampel II Health Center – Tanduk &amp; Banyuanyar Villages)</w:t>
            </w:r>
          </w:p>
        </w:tc>
        <w:tc>
          <w:tcPr>
            <w:tcW w:w="4140" w:type="dxa"/>
            <w:vAlign w:val="center"/>
          </w:tcPr>
          <w:p w14:paraId="2096745C"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Education on menopausal symptoms and self-care practices, including nutrition, physical activity, sleep hygiene, and stress management.</w:t>
            </w:r>
          </w:p>
        </w:tc>
        <w:tc>
          <w:tcPr>
            <w:tcW w:w="3117" w:type="dxa"/>
            <w:vAlign w:val="center"/>
          </w:tcPr>
          <w:p w14:paraId="46FAAC10"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Awareness</w:t>
            </w:r>
          </w:p>
        </w:tc>
      </w:tr>
      <w:tr w:rsidR="00BB7384" w:rsidRPr="00BB7384" w14:paraId="0764C2FF" w14:textId="77777777" w:rsidTr="00C14B59">
        <w:tc>
          <w:tcPr>
            <w:tcW w:w="2245" w:type="dxa"/>
            <w:vAlign w:val="center"/>
          </w:tcPr>
          <w:p w14:paraId="51FC512B"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57C2BE4E"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Introduction to women’s health rights and access to community health center services.</w:t>
            </w:r>
          </w:p>
        </w:tc>
        <w:tc>
          <w:tcPr>
            <w:tcW w:w="3117" w:type="dxa"/>
            <w:vAlign w:val="center"/>
          </w:tcPr>
          <w:p w14:paraId="650B8E73"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Access &amp; Equity</w:t>
            </w:r>
          </w:p>
        </w:tc>
      </w:tr>
      <w:tr w:rsidR="00BB7384" w:rsidRPr="00BB7384" w14:paraId="515777D1" w14:textId="77777777" w:rsidTr="00C14B59">
        <w:tc>
          <w:tcPr>
            <w:tcW w:w="2245" w:type="dxa"/>
            <w:vAlign w:val="center"/>
          </w:tcPr>
          <w:p w14:paraId="3F9975B9"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7D45FFD0"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Encouragement of active participation in family and community social activities.</w:t>
            </w:r>
          </w:p>
        </w:tc>
        <w:tc>
          <w:tcPr>
            <w:tcW w:w="3117" w:type="dxa"/>
            <w:vAlign w:val="center"/>
          </w:tcPr>
          <w:p w14:paraId="0173C4F4"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Participation &amp; Control</w:t>
            </w:r>
          </w:p>
        </w:tc>
      </w:tr>
      <w:tr w:rsidR="00BB7384" w:rsidRPr="00BB7384" w14:paraId="6A635CFC" w14:textId="77777777" w:rsidTr="00C14B59">
        <w:tc>
          <w:tcPr>
            <w:tcW w:w="2245" w:type="dxa"/>
            <w:vAlign w:val="center"/>
          </w:tcPr>
          <w:p w14:paraId="239C6917"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42786654"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Practice of independent decision-making related to personal health management.</w:t>
            </w:r>
          </w:p>
        </w:tc>
        <w:tc>
          <w:tcPr>
            <w:tcW w:w="3117" w:type="dxa"/>
            <w:vAlign w:val="center"/>
          </w:tcPr>
          <w:p w14:paraId="1FFA8F97"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Access, Participation, &amp; Control</w:t>
            </w:r>
          </w:p>
        </w:tc>
      </w:tr>
      <w:tr w:rsidR="00BB7384" w:rsidRPr="00BB7384" w14:paraId="75C7EB3B" w14:textId="77777777" w:rsidTr="00C14B59">
        <w:tc>
          <w:tcPr>
            <w:tcW w:w="2245" w:type="dxa"/>
            <w:vAlign w:val="center"/>
          </w:tcPr>
          <w:p w14:paraId="00F3142E"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0859DA04"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Reflection and formulation of individualized empowerment plans.</w:t>
            </w:r>
          </w:p>
        </w:tc>
        <w:tc>
          <w:tcPr>
            <w:tcW w:w="3117" w:type="dxa"/>
            <w:vAlign w:val="center"/>
          </w:tcPr>
          <w:p w14:paraId="7A0D92DC"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Equity &amp; Access</w:t>
            </w:r>
          </w:p>
        </w:tc>
      </w:tr>
      <w:tr w:rsidR="00BB7384" w:rsidRPr="00BB7384" w14:paraId="5C747996" w14:textId="77777777" w:rsidTr="00C14B59">
        <w:tc>
          <w:tcPr>
            <w:tcW w:w="2245" w:type="dxa"/>
            <w:vAlign w:val="center"/>
          </w:tcPr>
          <w:p w14:paraId="11982ED9"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1649EA6A"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Sharing of successful self-care experiences among participants.</w:t>
            </w:r>
          </w:p>
        </w:tc>
        <w:tc>
          <w:tcPr>
            <w:tcW w:w="3117" w:type="dxa"/>
            <w:vAlign w:val="center"/>
          </w:tcPr>
          <w:p w14:paraId="2CB2A519"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Access &amp; Participation</w:t>
            </w:r>
          </w:p>
        </w:tc>
      </w:tr>
      <w:tr w:rsidR="00BB7384" w:rsidRPr="00BB7384" w14:paraId="2D8255CD" w14:textId="77777777" w:rsidTr="00C14B59">
        <w:tc>
          <w:tcPr>
            <w:tcW w:w="2245" w:type="dxa"/>
            <w:vAlign w:val="center"/>
          </w:tcPr>
          <w:p w14:paraId="7B695099"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1245E702"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Provision of motivation and positive reinforcement to support sustained behavioral change.</w:t>
            </w:r>
          </w:p>
        </w:tc>
        <w:tc>
          <w:tcPr>
            <w:tcW w:w="3117" w:type="dxa"/>
            <w:vAlign w:val="center"/>
          </w:tcPr>
          <w:p w14:paraId="1EBC0115"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Control &amp; Empowerment</w:t>
            </w:r>
          </w:p>
        </w:tc>
      </w:tr>
      <w:tr w:rsidR="00BB7384" w:rsidRPr="00BB7384" w14:paraId="780B34D3" w14:textId="77777777" w:rsidTr="00C14B59">
        <w:tc>
          <w:tcPr>
            <w:tcW w:w="2245" w:type="dxa"/>
            <w:vAlign w:val="center"/>
          </w:tcPr>
          <w:p w14:paraId="7C2264C6"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 xml:space="preserve">Self-Efficacy Group </w:t>
            </w:r>
            <w:r w:rsidRPr="00BB7384">
              <w:rPr>
                <w:rFonts w:eastAsia="Times New Roman" w:cs="Times New Roman"/>
                <w:b w:val="0"/>
                <w:color w:val="auto"/>
                <w:sz w:val="20"/>
                <w:szCs w:val="20"/>
              </w:rPr>
              <w:br/>
              <w:t>(Mojosongo Health Center – Dlingo Village)</w:t>
            </w:r>
          </w:p>
        </w:tc>
        <w:tc>
          <w:tcPr>
            <w:tcW w:w="4140" w:type="dxa"/>
            <w:vAlign w:val="center"/>
          </w:tcPr>
          <w:p w14:paraId="4E80EED3"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Observation and modeling of healthy behaviors demonstrated by peers.</w:t>
            </w:r>
          </w:p>
        </w:tc>
        <w:tc>
          <w:tcPr>
            <w:tcW w:w="3117" w:type="dxa"/>
            <w:vAlign w:val="center"/>
          </w:tcPr>
          <w:p w14:paraId="4356E7E6"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Mastery Experience</w:t>
            </w:r>
          </w:p>
        </w:tc>
      </w:tr>
      <w:tr w:rsidR="00BB7384" w:rsidRPr="00BB7384" w14:paraId="2EBEB1C7" w14:textId="77777777" w:rsidTr="00C14B59">
        <w:tc>
          <w:tcPr>
            <w:tcW w:w="2245" w:type="dxa"/>
            <w:vAlign w:val="center"/>
          </w:tcPr>
          <w:p w14:paraId="60F66D6C"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68D0C24A"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Relaxation exercises and basic emotional regulation techniques.</w:t>
            </w:r>
          </w:p>
        </w:tc>
        <w:tc>
          <w:tcPr>
            <w:tcW w:w="3117" w:type="dxa"/>
            <w:vAlign w:val="center"/>
          </w:tcPr>
          <w:p w14:paraId="2BBA8CF7"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Verbal Persuasion</w:t>
            </w:r>
          </w:p>
        </w:tc>
      </w:tr>
      <w:tr w:rsidR="00BB7384" w:rsidRPr="00BB7384" w14:paraId="009C0E86" w14:textId="77777777" w:rsidTr="00C14B59">
        <w:tc>
          <w:tcPr>
            <w:tcW w:w="2245" w:type="dxa"/>
            <w:vAlign w:val="center"/>
          </w:tcPr>
          <w:p w14:paraId="64B6F529"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59E805E0"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Guided self-reflection on changes in beliefs, attitudes, and behaviors.</w:t>
            </w:r>
          </w:p>
        </w:tc>
        <w:tc>
          <w:tcPr>
            <w:tcW w:w="3117" w:type="dxa"/>
            <w:vAlign w:val="center"/>
          </w:tcPr>
          <w:p w14:paraId="3536565D"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Vicarious Experience &amp; Emotional Regulation</w:t>
            </w:r>
          </w:p>
        </w:tc>
      </w:tr>
      <w:tr w:rsidR="00BB7384" w:rsidRPr="00BB7384" w14:paraId="0E52DA4E" w14:textId="77777777" w:rsidTr="00C14B59">
        <w:tc>
          <w:tcPr>
            <w:tcW w:w="2245" w:type="dxa"/>
            <w:vAlign w:val="center"/>
          </w:tcPr>
          <w:p w14:paraId="7DE5CAE5"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73A5B770"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Educational sessions focused on confidence-building and behavioral reinforcement.</w:t>
            </w:r>
          </w:p>
        </w:tc>
        <w:tc>
          <w:tcPr>
            <w:tcW w:w="3117" w:type="dxa"/>
            <w:vAlign w:val="center"/>
          </w:tcPr>
          <w:p w14:paraId="377B3FFF"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Vicarious Experience</w:t>
            </w:r>
          </w:p>
        </w:tc>
      </w:tr>
      <w:tr w:rsidR="00BB7384" w:rsidRPr="00BB7384" w14:paraId="1B287F52" w14:textId="77777777" w:rsidTr="00C14B59">
        <w:tc>
          <w:tcPr>
            <w:tcW w:w="2245" w:type="dxa"/>
            <w:vAlign w:val="center"/>
          </w:tcPr>
          <w:p w14:paraId="1B8D8C73"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2051CE67"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Practice of social participation, decision-making, and self-reflection.</w:t>
            </w:r>
          </w:p>
        </w:tc>
        <w:tc>
          <w:tcPr>
            <w:tcW w:w="3117" w:type="dxa"/>
            <w:vAlign w:val="center"/>
          </w:tcPr>
          <w:p w14:paraId="7D6808DA"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Verbal Persuasion &amp; Emotional Regulation</w:t>
            </w:r>
          </w:p>
        </w:tc>
      </w:tr>
      <w:tr w:rsidR="00BB7384" w:rsidRPr="00BB7384" w14:paraId="62734806" w14:textId="77777777" w:rsidTr="00C14B59">
        <w:tc>
          <w:tcPr>
            <w:tcW w:w="2245" w:type="dxa"/>
            <w:vAlign w:val="center"/>
          </w:tcPr>
          <w:p w14:paraId="7BA92475"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 xml:space="preserve">Integrated Model Group </w:t>
            </w:r>
            <w:r w:rsidRPr="00BB7384">
              <w:rPr>
                <w:rFonts w:eastAsia="Times New Roman" w:cs="Times New Roman"/>
                <w:b w:val="0"/>
                <w:color w:val="auto"/>
                <w:sz w:val="20"/>
                <w:szCs w:val="20"/>
              </w:rPr>
              <w:br/>
              <w:t>(Teras Health Center – Randusari Village)</w:t>
            </w:r>
          </w:p>
        </w:tc>
        <w:tc>
          <w:tcPr>
            <w:tcW w:w="4140" w:type="dxa"/>
            <w:vAlign w:val="center"/>
          </w:tcPr>
          <w:p w14:paraId="22E89B23"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Development of a sustainable and independent self-care plan.</w:t>
            </w:r>
          </w:p>
        </w:tc>
        <w:tc>
          <w:tcPr>
            <w:tcW w:w="3117" w:type="dxa"/>
            <w:vAlign w:val="center"/>
          </w:tcPr>
          <w:p w14:paraId="5094404A"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Integration of Empowerment and Self-Efficacy Theories</w:t>
            </w:r>
          </w:p>
        </w:tc>
      </w:tr>
      <w:tr w:rsidR="00BB7384" w:rsidRPr="00BB7384" w14:paraId="31FF287E" w14:textId="77777777" w:rsidTr="00C14B59">
        <w:tc>
          <w:tcPr>
            <w:tcW w:w="2245" w:type="dxa"/>
            <w:vAlign w:val="center"/>
          </w:tcPr>
          <w:p w14:paraId="7B9EF2A8"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1BD00720"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Education on menopausal symptoms and comprehensive self-care practices (nutrition, physical activity, sleep, and stress management).</w:t>
            </w:r>
          </w:p>
        </w:tc>
        <w:tc>
          <w:tcPr>
            <w:tcW w:w="3117" w:type="dxa"/>
            <w:vAlign w:val="center"/>
          </w:tcPr>
          <w:p w14:paraId="16AE2647"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Awareness, Access, Participation, Mastery Experience, &amp; Emotional Regulation</w:t>
            </w:r>
          </w:p>
        </w:tc>
      </w:tr>
      <w:tr w:rsidR="00BB7384" w:rsidRPr="00BB7384" w14:paraId="79C4ABE5" w14:textId="77777777" w:rsidTr="00C14B59">
        <w:tc>
          <w:tcPr>
            <w:tcW w:w="2245" w:type="dxa"/>
            <w:vAlign w:val="center"/>
          </w:tcPr>
          <w:p w14:paraId="24C1342E" w14:textId="77777777" w:rsidR="00BB7384" w:rsidRPr="00BB7384" w:rsidRDefault="00BB7384" w:rsidP="00BB7384">
            <w:pPr>
              <w:spacing w:before="0" w:after="0"/>
              <w:jc w:val="both"/>
              <w:rPr>
                <w:rFonts w:eastAsia="Times New Roman" w:cs="Times New Roman"/>
                <w:b w:val="0"/>
                <w:color w:val="auto"/>
                <w:sz w:val="20"/>
                <w:szCs w:val="20"/>
              </w:rPr>
            </w:pPr>
          </w:p>
        </w:tc>
        <w:tc>
          <w:tcPr>
            <w:tcW w:w="4140" w:type="dxa"/>
            <w:vAlign w:val="center"/>
          </w:tcPr>
          <w:p w14:paraId="22FB8A5A"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Introduction to women’s health rights and access to community health services.</w:t>
            </w:r>
          </w:p>
        </w:tc>
        <w:tc>
          <w:tcPr>
            <w:tcW w:w="3117" w:type="dxa"/>
            <w:vAlign w:val="center"/>
          </w:tcPr>
          <w:p w14:paraId="26F756AB" w14:textId="77777777" w:rsidR="00BB7384" w:rsidRPr="00BB7384" w:rsidRDefault="00BB7384" w:rsidP="00BB7384">
            <w:pPr>
              <w:spacing w:before="0" w:after="0"/>
              <w:jc w:val="both"/>
              <w:rPr>
                <w:rFonts w:eastAsia="Times New Roman" w:cs="Times New Roman"/>
                <w:b w:val="0"/>
                <w:color w:val="auto"/>
                <w:sz w:val="20"/>
                <w:szCs w:val="20"/>
              </w:rPr>
            </w:pPr>
            <w:r w:rsidRPr="00BB7384">
              <w:rPr>
                <w:rFonts w:eastAsia="Times New Roman" w:cs="Times New Roman"/>
                <w:b w:val="0"/>
                <w:color w:val="auto"/>
                <w:sz w:val="20"/>
                <w:szCs w:val="20"/>
              </w:rPr>
              <w:t>Integration of Empowerment and Self-Efficacy Components</w:t>
            </w:r>
          </w:p>
        </w:tc>
      </w:tr>
    </w:tbl>
    <w:p w14:paraId="761AACE5" w14:textId="504D0905" w:rsidR="00BB7384" w:rsidRDefault="00BB7384" w:rsidP="00BB7384">
      <w:pPr>
        <w:pStyle w:val="10TableandFigureName"/>
      </w:pPr>
      <w:r w:rsidRPr="004F5547">
        <w:rPr>
          <w:rFonts w:eastAsia="Times New Roman"/>
          <w:b/>
          <w:bCs/>
          <w:color w:val="4472C4" w:themeColor="accent1"/>
          <w:lang w:eastAsia="id-ID"/>
        </w:rPr>
        <w:t>Table 2.</w:t>
      </w:r>
      <w:r w:rsidRPr="00BB7384">
        <w:rPr>
          <w:color w:val="5B9BD5" w:themeColor="accent5"/>
        </w:rPr>
        <w:t xml:space="preserve"> </w:t>
      </w:r>
      <w:r w:rsidRPr="00BB7384">
        <w:t>Self-Care Training Schedule for Women with Early Menopause in Boyolali Regency: Empowerment, Self-Efficacy, and Integrated Models</w:t>
      </w:r>
    </w:p>
    <w:tbl>
      <w:tblPr>
        <w:tblStyle w:val="TableGrid2"/>
        <w:tblW w:w="0" w:type="auto"/>
        <w:tblLook w:val="04A0" w:firstRow="1" w:lastRow="0" w:firstColumn="1" w:lastColumn="0" w:noHBand="0" w:noVBand="1"/>
      </w:tblPr>
      <w:tblGrid>
        <w:gridCol w:w="1736"/>
        <w:gridCol w:w="1781"/>
        <w:gridCol w:w="1768"/>
        <w:gridCol w:w="1788"/>
        <w:gridCol w:w="1704"/>
      </w:tblGrid>
      <w:tr w:rsidR="00BB7384" w:rsidRPr="00BB7384" w14:paraId="4DE44EAF" w14:textId="77777777" w:rsidTr="00BB7384">
        <w:tc>
          <w:tcPr>
            <w:tcW w:w="1736" w:type="dxa"/>
            <w:vAlign w:val="center"/>
          </w:tcPr>
          <w:p w14:paraId="7E23E1A9" w14:textId="77777777" w:rsidR="00BB7384" w:rsidRPr="00BB7384" w:rsidRDefault="00BB7384" w:rsidP="00BB7384">
            <w:pPr>
              <w:spacing w:before="0" w:after="0"/>
              <w:rPr>
                <w:rFonts w:eastAsia="Times New Roman" w:cs="Times New Roman"/>
                <w:b w:val="0"/>
                <w:color w:val="auto"/>
                <w:sz w:val="20"/>
                <w:szCs w:val="22"/>
              </w:rPr>
            </w:pPr>
            <w:r w:rsidRPr="00BB7384">
              <w:rPr>
                <w:rFonts w:eastAsia="Times New Roman" w:cs="Times New Roman"/>
                <w:b w:val="0"/>
                <w:color w:val="auto"/>
                <w:sz w:val="20"/>
                <w:szCs w:val="22"/>
              </w:rPr>
              <w:t>Week / Session</w:t>
            </w:r>
          </w:p>
        </w:tc>
        <w:tc>
          <w:tcPr>
            <w:tcW w:w="1781" w:type="dxa"/>
            <w:vAlign w:val="center"/>
          </w:tcPr>
          <w:p w14:paraId="41951A90" w14:textId="77777777" w:rsidR="00BB7384" w:rsidRPr="00BB7384" w:rsidRDefault="00BB7384" w:rsidP="00BB7384">
            <w:pPr>
              <w:spacing w:before="0" w:after="0"/>
              <w:rPr>
                <w:rFonts w:eastAsia="Times New Roman" w:cs="Times New Roman"/>
                <w:b w:val="0"/>
                <w:color w:val="auto"/>
                <w:sz w:val="20"/>
                <w:szCs w:val="22"/>
              </w:rPr>
            </w:pPr>
            <w:r w:rsidRPr="00BB7384">
              <w:rPr>
                <w:rFonts w:eastAsia="Times New Roman" w:cs="Times New Roman"/>
                <w:b w:val="0"/>
                <w:color w:val="auto"/>
                <w:sz w:val="20"/>
                <w:szCs w:val="22"/>
              </w:rPr>
              <w:t>Main Activities and Focus</w:t>
            </w:r>
          </w:p>
        </w:tc>
        <w:tc>
          <w:tcPr>
            <w:tcW w:w="1768" w:type="dxa"/>
            <w:vAlign w:val="center"/>
          </w:tcPr>
          <w:p w14:paraId="1028DE0F" w14:textId="77777777" w:rsidR="00BB7384" w:rsidRPr="00BB7384" w:rsidRDefault="00BB7384" w:rsidP="00BB7384">
            <w:pPr>
              <w:spacing w:before="0" w:after="0"/>
              <w:rPr>
                <w:rFonts w:eastAsia="Times New Roman" w:cs="Times New Roman"/>
                <w:b w:val="0"/>
                <w:color w:val="auto"/>
                <w:sz w:val="20"/>
                <w:szCs w:val="22"/>
              </w:rPr>
            </w:pPr>
            <w:r w:rsidRPr="00BB7384">
              <w:rPr>
                <w:rFonts w:eastAsia="Times New Roman" w:cs="Times New Roman"/>
                <w:b w:val="0"/>
                <w:color w:val="auto"/>
                <w:sz w:val="20"/>
                <w:szCs w:val="22"/>
              </w:rPr>
              <w:t>Learning Objectives</w:t>
            </w:r>
          </w:p>
        </w:tc>
        <w:tc>
          <w:tcPr>
            <w:tcW w:w="1788" w:type="dxa"/>
            <w:vAlign w:val="center"/>
          </w:tcPr>
          <w:p w14:paraId="0ADB8D77" w14:textId="77777777" w:rsidR="00BB7384" w:rsidRPr="00BB7384" w:rsidRDefault="00BB7384" w:rsidP="00BB7384">
            <w:pPr>
              <w:spacing w:before="0" w:after="0"/>
              <w:rPr>
                <w:rFonts w:eastAsia="Times New Roman" w:cs="Times New Roman"/>
                <w:b w:val="0"/>
                <w:color w:val="auto"/>
                <w:sz w:val="20"/>
                <w:szCs w:val="22"/>
              </w:rPr>
            </w:pPr>
            <w:r w:rsidRPr="00BB7384">
              <w:rPr>
                <w:rFonts w:eastAsia="Times New Roman" w:cs="Times New Roman"/>
                <w:b w:val="0"/>
                <w:color w:val="auto"/>
                <w:sz w:val="20"/>
                <w:szCs w:val="22"/>
              </w:rPr>
              <w:t>Methods / Media</w:t>
            </w:r>
          </w:p>
        </w:tc>
        <w:tc>
          <w:tcPr>
            <w:tcW w:w="1704" w:type="dxa"/>
            <w:vAlign w:val="center"/>
          </w:tcPr>
          <w:p w14:paraId="23CEC18F" w14:textId="77777777" w:rsidR="00BB7384" w:rsidRPr="00BB7384" w:rsidRDefault="00BB7384" w:rsidP="00BB7384">
            <w:pPr>
              <w:spacing w:before="0" w:after="0"/>
              <w:rPr>
                <w:rFonts w:eastAsia="Times New Roman" w:cs="Times New Roman"/>
                <w:b w:val="0"/>
                <w:color w:val="auto"/>
                <w:sz w:val="20"/>
                <w:szCs w:val="22"/>
              </w:rPr>
            </w:pPr>
            <w:r w:rsidRPr="00BB7384">
              <w:rPr>
                <w:rFonts w:eastAsia="Times New Roman" w:cs="Times New Roman"/>
                <w:b w:val="0"/>
                <w:color w:val="auto"/>
                <w:sz w:val="20"/>
                <w:szCs w:val="22"/>
              </w:rPr>
              <w:t>Groups</w:t>
            </w:r>
          </w:p>
        </w:tc>
      </w:tr>
      <w:tr w:rsidR="00BB7384" w:rsidRPr="00BB7384" w14:paraId="590D9268" w14:textId="77777777" w:rsidTr="00BB7384">
        <w:tc>
          <w:tcPr>
            <w:tcW w:w="1736" w:type="dxa"/>
            <w:vAlign w:val="center"/>
          </w:tcPr>
          <w:p w14:paraId="4AAB7135" w14:textId="77777777" w:rsidR="00BB7384" w:rsidRPr="00BB7384" w:rsidRDefault="00BB7384" w:rsidP="008576E1">
            <w:pPr>
              <w:spacing w:before="0" w:after="0"/>
              <w:jc w:val="left"/>
              <w:rPr>
                <w:rFonts w:eastAsia="Times New Roman" w:cs="Times New Roman"/>
                <w:b w:val="0"/>
                <w:color w:val="auto"/>
                <w:sz w:val="20"/>
                <w:szCs w:val="22"/>
              </w:rPr>
            </w:pPr>
            <w:r w:rsidRPr="00BB7384">
              <w:rPr>
                <w:rFonts w:eastAsia="Times New Roman" w:cs="Times New Roman"/>
                <w:b w:val="0"/>
                <w:color w:val="auto"/>
                <w:sz w:val="20"/>
                <w:szCs w:val="22"/>
              </w:rPr>
              <w:t xml:space="preserve">Week 1 </w:t>
            </w:r>
            <w:r w:rsidRPr="00BB7384">
              <w:rPr>
                <w:rFonts w:eastAsia="Times New Roman" w:cs="Times New Roman"/>
                <w:b w:val="0"/>
                <w:color w:val="auto"/>
                <w:sz w:val="20"/>
                <w:szCs w:val="22"/>
              </w:rPr>
              <w:br/>
              <w:t>Orientation</w:t>
            </w:r>
          </w:p>
        </w:tc>
        <w:tc>
          <w:tcPr>
            <w:tcW w:w="1781" w:type="dxa"/>
            <w:vAlign w:val="center"/>
          </w:tcPr>
          <w:p w14:paraId="2E22CBBB"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Introduction to early menopause, sharing of personal experiences, and basic education on healthy lifestyle practices, including nutrition, rest, and stress management.</w:t>
            </w:r>
          </w:p>
        </w:tc>
        <w:tc>
          <w:tcPr>
            <w:tcW w:w="1768" w:type="dxa"/>
            <w:vAlign w:val="center"/>
          </w:tcPr>
          <w:p w14:paraId="07EE97BC"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Increase awareness and understanding of early menopause and the importance of self-care.</w:t>
            </w:r>
          </w:p>
        </w:tc>
        <w:tc>
          <w:tcPr>
            <w:tcW w:w="1788" w:type="dxa"/>
            <w:vAlign w:val="center"/>
          </w:tcPr>
          <w:p w14:paraId="673FAFC2"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Interactive lecture, group discussion, educational booklet, short video.</w:t>
            </w:r>
          </w:p>
        </w:tc>
        <w:tc>
          <w:tcPr>
            <w:tcW w:w="1704" w:type="dxa"/>
            <w:vAlign w:val="center"/>
          </w:tcPr>
          <w:p w14:paraId="1146829E"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All groups</w:t>
            </w:r>
          </w:p>
        </w:tc>
      </w:tr>
      <w:tr w:rsidR="00BB7384" w:rsidRPr="00BB7384" w14:paraId="0E3456AC" w14:textId="77777777" w:rsidTr="00BB7384">
        <w:tc>
          <w:tcPr>
            <w:tcW w:w="1736" w:type="dxa"/>
            <w:vAlign w:val="center"/>
          </w:tcPr>
          <w:p w14:paraId="78B683A8" w14:textId="77777777" w:rsidR="00BB7384" w:rsidRPr="00BB7384" w:rsidRDefault="00BB7384" w:rsidP="008576E1">
            <w:pPr>
              <w:spacing w:before="0" w:after="0"/>
              <w:jc w:val="left"/>
              <w:rPr>
                <w:rFonts w:eastAsia="Times New Roman" w:cs="Times New Roman"/>
                <w:b w:val="0"/>
                <w:color w:val="auto"/>
                <w:sz w:val="20"/>
                <w:szCs w:val="22"/>
              </w:rPr>
            </w:pPr>
            <w:r w:rsidRPr="00BB7384">
              <w:rPr>
                <w:rFonts w:eastAsia="Times New Roman" w:cs="Times New Roman"/>
                <w:b w:val="0"/>
                <w:color w:val="auto"/>
                <w:sz w:val="20"/>
                <w:szCs w:val="22"/>
              </w:rPr>
              <w:t xml:space="preserve">Week 2 </w:t>
            </w:r>
            <w:r w:rsidRPr="00BB7384">
              <w:rPr>
                <w:rFonts w:eastAsia="Times New Roman" w:cs="Times New Roman"/>
                <w:b w:val="0"/>
                <w:color w:val="auto"/>
                <w:sz w:val="20"/>
                <w:szCs w:val="22"/>
              </w:rPr>
              <w:br/>
              <w:t>Self-Care Education</w:t>
            </w:r>
          </w:p>
        </w:tc>
        <w:tc>
          <w:tcPr>
            <w:tcW w:w="1781" w:type="dxa"/>
            <w:vAlign w:val="center"/>
          </w:tcPr>
          <w:p w14:paraId="0CE5C91B"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Management of menopausal symptoms, relaxation exercises, and introduction to locally available phytoestrogen-rich foods (e.g., tempeh, tofu, green vegetables).</w:t>
            </w:r>
          </w:p>
        </w:tc>
        <w:tc>
          <w:tcPr>
            <w:tcW w:w="1768" w:type="dxa"/>
            <w:vAlign w:val="center"/>
          </w:tcPr>
          <w:p w14:paraId="6660DB0F"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Develop practical self-care skills utilizing local resources.</w:t>
            </w:r>
          </w:p>
        </w:tc>
        <w:tc>
          <w:tcPr>
            <w:tcW w:w="1788" w:type="dxa"/>
            <w:vAlign w:val="center"/>
          </w:tcPr>
          <w:p w14:paraId="2CC0CEE1"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Demonstration, simulation, participatory discussion, nutrition booklet.</w:t>
            </w:r>
          </w:p>
        </w:tc>
        <w:tc>
          <w:tcPr>
            <w:tcW w:w="1704" w:type="dxa"/>
            <w:vAlign w:val="center"/>
          </w:tcPr>
          <w:p w14:paraId="7BCD4DF3"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All groups</w:t>
            </w:r>
          </w:p>
        </w:tc>
      </w:tr>
      <w:tr w:rsidR="00BB7384" w:rsidRPr="00BB7384" w14:paraId="1BCF54D9" w14:textId="77777777" w:rsidTr="00BB7384">
        <w:tc>
          <w:tcPr>
            <w:tcW w:w="1736" w:type="dxa"/>
            <w:vAlign w:val="center"/>
          </w:tcPr>
          <w:p w14:paraId="08EDAD79" w14:textId="77777777" w:rsidR="00BB7384" w:rsidRPr="00BB7384" w:rsidRDefault="00BB7384" w:rsidP="008576E1">
            <w:pPr>
              <w:spacing w:before="0" w:after="0"/>
              <w:jc w:val="left"/>
              <w:rPr>
                <w:rFonts w:eastAsia="Times New Roman" w:cs="Times New Roman"/>
                <w:b w:val="0"/>
                <w:color w:val="auto"/>
                <w:sz w:val="20"/>
                <w:szCs w:val="22"/>
              </w:rPr>
            </w:pPr>
            <w:r w:rsidRPr="00BB7384">
              <w:rPr>
                <w:rFonts w:eastAsia="Times New Roman" w:cs="Times New Roman"/>
                <w:b w:val="0"/>
                <w:color w:val="auto"/>
                <w:sz w:val="20"/>
                <w:szCs w:val="22"/>
              </w:rPr>
              <w:t xml:space="preserve">Week 3 </w:t>
            </w:r>
            <w:r w:rsidRPr="00BB7384">
              <w:rPr>
                <w:rFonts w:eastAsia="Times New Roman" w:cs="Times New Roman"/>
                <w:b w:val="0"/>
                <w:color w:val="auto"/>
                <w:sz w:val="20"/>
                <w:szCs w:val="22"/>
              </w:rPr>
              <w:br/>
              <w:t>Focused Intervention</w:t>
            </w:r>
          </w:p>
        </w:tc>
        <w:tc>
          <w:tcPr>
            <w:tcW w:w="1781" w:type="dxa"/>
            <w:vAlign w:val="center"/>
          </w:tcPr>
          <w:p w14:paraId="2124BC26"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 xml:space="preserve">Empowerment group: awareness, access, and social participation. </w:t>
            </w:r>
            <w:r w:rsidRPr="00BB7384">
              <w:rPr>
                <w:rFonts w:eastAsia="Times New Roman" w:cs="Times New Roman"/>
                <w:b w:val="0"/>
                <w:color w:val="auto"/>
                <w:sz w:val="20"/>
                <w:szCs w:val="22"/>
              </w:rPr>
              <w:br/>
              <w:t xml:space="preserve">Self-efficacy group: confidence building and mastery experience. </w:t>
            </w:r>
            <w:r w:rsidRPr="00BB7384">
              <w:rPr>
                <w:rFonts w:eastAsia="Times New Roman" w:cs="Times New Roman"/>
                <w:b w:val="0"/>
                <w:color w:val="auto"/>
                <w:sz w:val="20"/>
                <w:szCs w:val="22"/>
              </w:rPr>
              <w:br/>
              <w:t>Integrated group: reflection, decision-making, and emotional management.</w:t>
            </w:r>
          </w:p>
        </w:tc>
        <w:tc>
          <w:tcPr>
            <w:tcW w:w="1768" w:type="dxa"/>
            <w:vAlign w:val="center"/>
          </w:tcPr>
          <w:p w14:paraId="1952B255"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Strengthen self-confidence, decision-making ability, and social participation.</w:t>
            </w:r>
          </w:p>
        </w:tc>
        <w:tc>
          <w:tcPr>
            <w:tcW w:w="1788" w:type="dxa"/>
            <w:vAlign w:val="center"/>
          </w:tcPr>
          <w:p w14:paraId="14902705"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Small-group discussion, peer sharing, reflection guide.</w:t>
            </w:r>
          </w:p>
        </w:tc>
        <w:tc>
          <w:tcPr>
            <w:tcW w:w="1704" w:type="dxa"/>
            <w:vAlign w:val="center"/>
          </w:tcPr>
          <w:p w14:paraId="7935B0DF"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Each group at respective centers</w:t>
            </w:r>
          </w:p>
        </w:tc>
      </w:tr>
      <w:tr w:rsidR="00BB7384" w:rsidRPr="00BB7384" w14:paraId="4E43F9B5" w14:textId="77777777" w:rsidTr="00BB7384">
        <w:tc>
          <w:tcPr>
            <w:tcW w:w="1736" w:type="dxa"/>
            <w:vAlign w:val="center"/>
          </w:tcPr>
          <w:p w14:paraId="7BF6C9CB" w14:textId="77777777" w:rsidR="00BB7384" w:rsidRPr="00BB7384" w:rsidRDefault="00BB7384" w:rsidP="008576E1">
            <w:pPr>
              <w:spacing w:before="0" w:after="0"/>
              <w:jc w:val="left"/>
              <w:rPr>
                <w:rFonts w:eastAsia="Times New Roman" w:cs="Times New Roman"/>
                <w:b w:val="0"/>
                <w:color w:val="auto"/>
                <w:sz w:val="20"/>
                <w:szCs w:val="22"/>
              </w:rPr>
            </w:pPr>
            <w:r w:rsidRPr="00BB7384">
              <w:rPr>
                <w:rFonts w:eastAsia="Times New Roman" w:cs="Times New Roman"/>
                <w:b w:val="0"/>
                <w:color w:val="auto"/>
                <w:sz w:val="20"/>
                <w:szCs w:val="22"/>
              </w:rPr>
              <w:t xml:space="preserve">Week 4 </w:t>
            </w:r>
            <w:r w:rsidRPr="00BB7384">
              <w:rPr>
                <w:rFonts w:eastAsia="Times New Roman" w:cs="Times New Roman"/>
                <w:b w:val="0"/>
                <w:color w:val="auto"/>
                <w:sz w:val="20"/>
                <w:szCs w:val="22"/>
              </w:rPr>
              <w:br/>
              <w:t>Reflection &amp; Follow-up</w:t>
            </w:r>
          </w:p>
        </w:tc>
        <w:tc>
          <w:tcPr>
            <w:tcW w:w="1781" w:type="dxa"/>
            <w:vAlign w:val="center"/>
          </w:tcPr>
          <w:p w14:paraId="45A85D18"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Evaluation of progress, formulation of an individualized self-care plan, and motivation for sustainable practice.</w:t>
            </w:r>
          </w:p>
        </w:tc>
        <w:tc>
          <w:tcPr>
            <w:tcW w:w="1768" w:type="dxa"/>
            <w:vAlign w:val="center"/>
          </w:tcPr>
          <w:p w14:paraId="67082E5E"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Reinforce commitment to ongoing self-care and improved quality of life.</w:t>
            </w:r>
          </w:p>
        </w:tc>
        <w:tc>
          <w:tcPr>
            <w:tcW w:w="1788" w:type="dxa"/>
            <w:vAlign w:val="center"/>
          </w:tcPr>
          <w:p w14:paraId="3FE7C562"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Reflection session, feedback, brief counseling, certificate of participation.</w:t>
            </w:r>
          </w:p>
        </w:tc>
        <w:tc>
          <w:tcPr>
            <w:tcW w:w="1704" w:type="dxa"/>
            <w:vAlign w:val="center"/>
          </w:tcPr>
          <w:p w14:paraId="398C1665" w14:textId="77777777" w:rsidR="00BB7384" w:rsidRPr="00BB7384" w:rsidRDefault="00BB7384" w:rsidP="00BB7384">
            <w:pPr>
              <w:spacing w:before="0" w:after="0"/>
              <w:jc w:val="both"/>
              <w:rPr>
                <w:rFonts w:eastAsia="Times New Roman" w:cs="Times New Roman"/>
                <w:b w:val="0"/>
                <w:color w:val="auto"/>
                <w:sz w:val="20"/>
                <w:szCs w:val="22"/>
              </w:rPr>
            </w:pPr>
            <w:r w:rsidRPr="00BB7384">
              <w:rPr>
                <w:rFonts w:eastAsia="Times New Roman" w:cs="Times New Roman"/>
                <w:b w:val="0"/>
                <w:color w:val="auto"/>
                <w:sz w:val="20"/>
                <w:szCs w:val="22"/>
              </w:rPr>
              <w:t>All groups</w:t>
            </w:r>
          </w:p>
        </w:tc>
      </w:tr>
    </w:tbl>
    <w:p w14:paraId="1D904C36" w14:textId="77777777" w:rsidR="00BB7384" w:rsidRDefault="00BB7384" w:rsidP="00BB7384">
      <w:pPr>
        <w:pBdr>
          <w:top w:val="nil"/>
          <w:left w:val="nil"/>
          <w:bottom w:val="nil"/>
          <w:right w:val="nil"/>
          <w:between w:val="nil"/>
        </w:pBdr>
        <w:spacing w:before="0" w:after="0" w:line="360" w:lineRule="auto"/>
        <w:jc w:val="both"/>
        <w:rPr>
          <w:rFonts w:eastAsia="Times New Roman" w:cs="Times New Roman"/>
          <w:sz w:val="24"/>
          <w:szCs w:val="24"/>
          <w:lang w:val="en-AU" w:eastAsia="en-ID"/>
        </w:rPr>
      </w:pPr>
    </w:p>
    <w:p w14:paraId="37E30E05" w14:textId="3F543C0B" w:rsidR="00BB7384" w:rsidRDefault="00BB7384" w:rsidP="00BB7384">
      <w:pPr>
        <w:pBdr>
          <w:top w:val="nil"/>
          <w:left w:val="nil"/>
          <w:bottom w:val="nil"/>
          <w:right w:val="nil"/>
          <w:between w:val="nil"/>
        </w:pBdr>
        <w:spacing w:before="0" w:after="0" w:line="360" w:lineRule="auto"/>
        <w:jc w:val="both"/>
        <w:rPr>
          <w:rFonts w:eastAsia="Times New Roman" w:cs="Times New Roman"/>
          <w:sz w:val="24"/>
          <w:szCs w:val="24"/>
          <w:lang w:val="en-AU" w:eastAsia="en-ID"/>
        </w:rPr>
      </w:pPr>
      <w:r w:rsidRPr="00BB7384">
        <w:rPr>
          <w:rFonts w:eastAsia="Times New Roman" w:cs="Times New Roman"/>
          <w:sz w:val="24"/>
          <w:szCs w:val="24"/>
          <w:lang w:val="en-AU" w:eastAsia="en-ID"/>
        </w:rPr>
        <w:lastRenderedPageBreak/>
        <w:t>Intervention Procedures</w:t>
      </w:r>
    </w:p>
    <w:p w14:paraId="3707D742" w14:textId="77777777" w:rsidR="00BB7384" w:rsidRPr="00BB7384" w:rsidRDefault="00BB7384" w:rsidP="00BB7384">
      <w:pPr>
        <w:pStyle w:val="9Paragraph0"/>
      </w:pPr>
      <w:r w:rsidRPr="00BB7384">
        <w:t>Data were collected at three time points: prior to the intervention (pre-test), one month after completion of the intervention (post-test 1), and two months after completion of the intervention (post-test 2). Research instruments included a demographic characteristics questionnaire and three standardized scales: the General Self-Efficacy Scale (GSES), the Women’s Empowerment Scale (WES) adapted from Sarah Longwe’s empowerment framework, and the Indonesian version of the Menopause-Specific Quality of Life Questionnaire (MENQOL), all of which have been previously validated.</w:t>
      </w:r>
    </w:p>
    <w:p w14:paraId="42D9BDFE" w14:textId="77777777" w:rsidR="00BB7384" w:rsidRPr="00BB7384" w:rsidRDefault="00BB7384" w:rsidP="00BB7384">
      <w:pPr>
        <w:pStyle w:val="9Paragraph0"/>
      </w:pPr>
      <w:r w:rsidRPr="00BB7384">
        <w:t>Instrument validity and reliability were established through a two-stage process. Content validity was assessed by three experts with professional backgrounds in midwifery, reproductive health, and clinical psychology. Subsequently, a pilot study was conducted involving 30 women with characteristics similar to the study population in Boyolali Regency prior to the main data collection. Internal consistency reliability analysis yielded Cronbach’s alpha coefficients of 0.88 for the GSES, 0.86 for the WES, and 0.87 for the MENQOL, indicating good to excellent reliability.</w:t>
      </w:r>
    </w:p>
    <w:p w14:paraId="7F198085" w14:textId="365A89E6" w:rsidR="00BB7384" w:rsidRDefault="00BB7384" w:rsidP="00BB7384">
      <w:pPr>
        <w:pStyle w:val="9Paragraph0"/>
      </w:pPr>
      <w:r w:rsidRPr="00BB7384">
        <w:t>Questionnaires were self-administered by participants. However, for participants with limited literacy, data collection was facilitated by trained interviewers using structured interviews under the supervision of the principal investigator.</w:t>
      </w:r>
    </w:p>
    <w:p w14:paraId="4BCDD7C9" w14:textId="77777777" w:rsidR="00BB7384" w:rsidRPr="00BB7384" w:rsidRDefault="00BB7384" w:rsidP="00BB7384">
      <w:pPr>
        <w:pBdr>
          <w:top w:val="nil"/>
          <w:left w:val="nil"/>
          <w:bottom w:val="nil"/>
          <w:right w:val="nil"/>
          <w:between w:val="nil"/>
        </w:pBdr>
        <w:spacing w:before="0" w:after="0" w:line="360" w:lineRule="auto"/>
        <w:jc w:val="both"/>
        <w:rPr>
          <w:rFonts w:eastAsia="Times New Roman" w:cs="Times New Roman"/>
          <w:b w:val="0"/>
          <w:color w:val="000000"/>
          <w:sz w:val="22"/>
          <w:lang w:val="en-AU" w:eastAsia="en-ID"/>
        </w:rPr>
      </w:pPr>
      <w:r w:rsidRPr="00BB7384">
        <w:rPr>
          <w:rFonts w:eastAsia="Times New Roman" w:cs="Times New Roman"/>
          <w:sz w:val="24"/>
          <w:szCs w:val="24"/>
          <w:lang w:val="en-AU" w:eastAsia="en-ID"/>
        </w:rPr>
        <w:t>Data Analysis</w:t>
      </w:r>
    </w:p>
    <w:p w14:paraId="53D3187D" w14:textId="77777777" w:rsidR="00BB7384" w:rsidRDefault="00BB7384" w:rsidP="00BB7384">
      <w:pPr>
        <w:pStyle w:val="9Paragraph0"/>
      </w:pPr>
      <w:r w:rsidRPr="00BB7384">
        <w:t>Collected data were analyzed using descriptive and inferential statistical methods. Baseline homogeneity of participant characteristics across groups was assessed using one-way analysis of variance (ANOVA) for continuous variables (age and duration of menopause) and chi-square tests for categorical variables (education level and occupation). The effectiveness of the intervention was evaluated using repeated measures ANOVA to examine differences in quality-of-life scores across measurement time points and between intervention groups. Post-hoc analyses were conducted using Bonferroni correction to identify specific pairwise differences. All statistical analyses followed a per-protocol approach, as all participants who completed baseline assessment also completed the intervention and all follow-up measurements. Statistical significance was established at p &lt; 0.05.</w:t>
      </w:r>
    </w:p>
    <w:p w14:paraId="645F4B00" w14:textId="77777777" w:rsidR="00BB7384" w:rsidRPr="00BB7384" w:rsidRDefault="00BB7384" w:rsidP="00BB7384">
      <w:pPr>
        <w:pStyle w:val="10Heading2"/>
        <w:rPr>
          <w:lang w:val="en-US"/>
        </w:rPr>
      </w:pPr>
      <w:r w:rsidRPr="00BB7384">
        <w:rPr>
          <w:lang w:val="en-US"/>
        </w:rPr>
        <w:t>Ethical Considerations</w:t>
      </w:r>
    </w:p>
    <w:p w14:paraId="274FB517" w14:textId="71C7B61D" w:rsidR="00BB7384" w:rsidRDefault="00BB7384" w:rsidP="00BB7384">
      <w:pPr>
        <w:pStyle w:val="9Paragraph0"/>
      </w:pPr>
      <w:r w:rsidRPr="00BB7384">
        <w:t>This study received ethical approval from the Health Research Ethics Committee (HREC) of the Faculty of Health Sciences, Universitas Muhammadiyah Surakarta (No. 1416/KEPK-FIK/VII/2025). All participants provided written informed consent prior to participation, and the study was conducted in accordance with established ethical principles for human research.</w:t>
      </w:r>
    </w:p>
    <w:p w14:paraId="370FA0F8" w14:textId="622B0445" w:rsidR="00E4013F" w:rsidRDefault="00E4013F" w:rsidP="001B4FA6">
      <w:pPr>
        <w:pStyle w:val="Heading5"/>
      </w:pPr>
      <w:r w:rsidRPr="00E4013F">
        <w:lastRenderedPageBreak/>
        <w:t>RESULT</w:t>
      </w:r>
      <w:r>
        <w:t>s</w:t>
      </w:r>
    </w:p>
    <w:p w14:paraId="50FDFAED" w14:textId="77777777" w:rsidR="00BB7384" w:rsidRPr="00BB7384" w:rsidRDefault="00BB7384" w:rsidP="00BB7384">
      <w:pPr>
        <w:pStyle w:val="10Heading2"/>
        <w:rPr>
          <w:lang w:val="en-US"/>
        </w:rPr>
      </w:pPr>
      <w:r w:rsidRPr="00BB7384">
        <w:rPr>
          <w:lang w:val="en-US"/>
        </w:rPr>
        <w:t>Participant Flow and Baseline Characteristics</w:t>
      </w:r>
    </w:p>
    <w:p w14:paraId="599F1E29" w14:textId="3160D3E2" w:rsidR="00E4013F" w:rsidRDefault="00BB7384" w:rsidP="00BB7384">
      <w:pPr>
        <w:pStyle w:val="9Paragraph0"/>
      </w:pPr>
      <w:r w:rsidRPr="00BB7384">
        <w:t>At baseline, each intervention group consisted of 60 women with early menopause. During the implementation of the intervention, several participants were unable to complete all training sessions due to inconsistent attendance, limited time availability, and incomplete questionnaire responses. Specifically, three participants withdrew from the empowerment group, two from the self-efficacy group, and four from the integrated group. Consequently, the final analytical sample comprised 57 women in the empowerment group, 58 women in the self-efficacy group, and 56 women in the integrated group, yielding a total of 171 participants included in the analysis.</w:t>
      </w:r>
    </w:p>
    <w:p w14:paraId="4CEF7255" w14:textId="77777777" w:rsidR="004F5547" w:rsidRDefault="004F5547" w:rsidP="004F5547">
      <w:pPr>
        <w:pStyle w:val="10TableandFigureName"/>
      </w:pPr>
      <w:r w:rsidRPr="004F5547">
        <w:rPr>
          <w:rFonts w:eastAsia="Times New Roman"/>
          <w:b/>
          <w:bCs/>
          <w:color w:val="4472C4" w:themeColor="accent1"/>
          <w:lang w:eastAsia="id-ID"/>
        </w:rPr>
        <w:t>Table 3.</w:t>
      </w:r>
      <w:r w:rsidRPr="004F5547">
        <w:t xml:space="preserve"> Baseline Sociodemographic Characteristics of Women with Early Menopause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1483"/>
        <w:gridCol w:w="1305"/>
        <w:gridCol w:w="1226"/>
        <w:gridCol w:w="850"/>
      </w:tblGrid>
      <w:tr w:rsidR="004F5547" w:rsidRPr="004F5547" w14:paraId="509CB355" w14:textId="77777777" w:rsidTr="004F5547">
        <w:tc>
          <w:tcPr>
            <w:tcW w:w="0" w:type="auto"/>
            <w:tcBorders>
              <w:top w:val="single" w:sz="4" w:space="0" w:color="auto"/>
              <w:bottom w:val="single" w:sz="4" w:space="0" w:color="auto"/>
            </w:tcBorders>
            <w:vAlign w:val="center"/>
            <w:hideMark/>
          </w:tcPr>
          <w:p w14:paraId="6ED465CA" w14:textId="77777777" w:rsidR="004F5547" w:rsidRPr="004F5547" w:rsidRDefault="004F5547" w:rsidP="004F5547">
            <w:pPr>
              <w:pBdr>
                <w:top w:val="single" w:sz="4" w:space="1" w:color="auto"/>
                <w:left w:val="nil"/>
                <w:bottom w:val="nil"/>
                <w:right w:val="nil"/>
                <w:between w:val="single" w:sz="4" w:space="1" w:color="auto"/>
              </w:pBdr>
              <w:spacing w:before="0" w:after="0"/>
              <w:rPr>
                <w:b/>
                <w:color w:val="000000"/>
                <w:sz w:val="20"/>
                <w:szCs w:val="20"/>
              </w:rPr>
            </w:pPr>
            <w:r w:rsidRPr="004F5547">
              <w:rPr>
                <w:b/>
                <w:color w:val="000000"/>
                <w:sz w:val="20"/>
                <w:szCs w:val="20"/>
              </w:rPr>
              <w:t>Characteristics</w:t>
            </w:r>
          </w:p>
        </w:tc>
        <w:tc>
          <w:tcPr>
            <w:tcW w:w="0" w:type="auto"/>
            <w:tcBorders>
              <w:top w:val="single" w:sz="4" w:space="0" w:color="auto"/>
              <w:bottom w:val="single" w:sz="4" w:space="0" w:color="auto"/>
            </w:tcBorders>
            <w:vAlign w:val="center"/>
            <w:hideMark/>
          </w:tcPr>
          <w:p w14:paraId="6551DBE9" w14:textId="77777777" w:rsidR="004F5547" w:rsidRPr="004F5547" w:rsidRDefault="004F5547" w:rsidP="004F5547">
            <w:pPr>
              <w:pBdr>
                <w:top w:val="nil"/>
                <w:left w:val="nil"/>
                <w:bottom w:val="nil"/>
                <w:right w:val="nil"/>
                <w:between w:val="nil"/>
              </w:pBdr>
              <w:spacing w:before="0" w:after="0"/>
              <w:rPr>
                <w:b/>
                <w:color w:val="000000"/>
                <w:sz w:val="20"/>
                <w:szCs w:val="20"/>
              </w:rPr>
            </w:pPr>
            <w:r w:rsidRPr="004F5547">
              <w:rPr>
                <w:b/>
                <w:color w:val="000000"/>
                <w:sz w:val="20"/>
                <w:szCs w:val="20"/>
              </w:rPr>
              <w:t>Empowerment</w:t>
            </w:r>
          </w:p>
          <w:p w14:paraId="106E5848" w14:textId="77777777" w:rsidR="004F5547" w:rsidRPr="004F5547" w:rsidRDefault="004F5547" w:rsidP="004F5547">
            <w:pPr>
              <w:pBdr>
                <w:top w:val="nil"/>
                <w:left w:val="nil"/>
                <w:bottom w:val="nil"/>
                <w:right w:val="nil"/>
                <w:between w:val="nil"/>
              </w:pBdr>
              <w:spacing w:before="0" w:after="0"/>
              <w:rPr>
                <w:b/>
                <w:color w:val="000000"/>
                <w:sz w:val="20"/>
                <w:szCs w:val="20"/>
              </w:rPr>
            </w:pPr>
            <w:r w:rsidRPr="004F5547">
              <w:rPr>
                <w:b/>
                <w:color w:val="000000"/>
                <w:sz w:val="20"/>
                <w:szCs w:val="20"/>
              </w:rPr>
              <w:t>(n = 57)</w:t>
            </w:r>
          </w:p>
        </w:tc>
        <w:tc>
          <w:tcPr>
            <w:tcW w:w="0" w:type="auto"/>
            <w:tcBorders>
              <w:top w:val="single" w:sz="4" w:space="0" w:color="auto"/>
              <w:bottom w:val="single" w:sz="4" w:space="0" w:color="auto"/>
            </w:tcBorders>
            <w:vAlign w:val="center"/>
            <w:hideMark/>
          </w:tcPr>
          <w:p w14:paraId="743D8570" w14:textId="77777777" w:rsidR="004F5547" w:rsidRPr="004F5547" w:rsidRDefault="004F5547" w:rsidP="004F5547">
            <w:pPr>
              <w:pBdr>
                <w:top w:val="nil"/>
                <w:left w:val="nil"/>
                <w:bottom w:val="nil"/>
                <w:right w:val="nil"/>
                <w:between w:val="nil"/>
              </w:pBdr>
              <w:spacing w:before="0" w:after="0"/>
              <w:rPr>
                <w:b/>
                <w:color w:val="000000"/>
                <w:sz w:val="20"/>
                <w:szCs w:val="20"/>
              </w:rPr>
            </w:pPr>
            <w:r w:rsidRPr="004F5547">
              <w:rPr>
                <w:b/>
                <w:color w:val="000000"/>
                <w:sz w:val="20"/>
                <w:szCs w:val="20"/>
              </w:rPr>
              <w:t>Self-Efficacy</w:t>
            </w:r>
          </w:p>
          <w:p w14:paraId="77351E3C" w14:textId="77777777" w:rsidR="004F5547" w:rsidRPr="004F5547" w:rsidRDefault="004F5547" w:rsidP="004F5547">
            <w:pPr>
              <w:pBdr>
                <w:top w:val="nil"/>
                <w:left w:val="nil"/>
                <w:bottom w:val="nil"/>
                <w:right w:val="nil"/>
                <w:between w:val="nil"/>
              </w:pBdr>
              <w:spacing w:before="0" w:after="0"/>
              <w:rPr>
                <w:b/>
                <w:color w:val="000000"/>
                <w:sz w:val="20"/>
                <w:szCs w:val="20"/>
              </w:rPr>
            </w:pPr>
            <w:r w:rsidRPr="004F5547">
              <w:rPr>
                <w:b/>
                <w:color w:val="000000"/>
                <w:sz w:val="20"/>
                <w:szCs w:val="20"/>
              </w:rPr>
              <w:t>(n = 58)</w:t>
            </w:r>
          </w:p>
        </w:tc>
        <w:tc>
          <w:tcPr>
            <w:tcW w:w="0" w:type="auto"/>
            <w:tcBorders>
              <w:top w:val="single" w:sz="4" w:space="0" w:color="auto"/>
              <w:bottom w:val="single" w:sz="4" w:space="0" w:color="auto"/>
            </w:tcBorders>
            <w:vAlign w:val="center"/>
            <w:hideMark/>
          </w:tcPr>
          <w:p w14:paraId="4BD5CA13" w14:textId="77777777" w:rsidR="004F5547" w:rsidRPr="004F5547" w:rsidRDefault="004F5547" w:rsidP="004F5547">
            <w:pPr>
              <w:pBdr>
                <w:top w:val="nil"/>
                <w:left w:val="nil"/>
                <w:bottom w:val="nil"/>
                <w:right w:val="nil"/>
                <w:between w:val="nil"/>
              </w:pBdr>
              <w:spacing w:before="0" w:after="0"/>
              <w:rPr>
                <w:b/>
                <w:color w:val="000000"/>
                <w:sz w:val="20"/>
                <w:szCs w:val="20"/>
              </w:rPr>
            </w:pPr>
            <w:r w:rsidRPr="004F5547">
              <w:rPr>
                <w:b/>
                <w:color w:val="000000"/>
                <w:sz w:val="20"/>
                <w:szCs w:val="20"/>
              </w:rPr>
              <w:t xml:space="preserve">Integrasi </w:t>
            </w:r>
          </w:p>
          <w:p w14:paraId="63B6127E" w14:textId="77777777" w:rsidR="004F5547" w:rsidRPr="004F5547" w:rsidRDefault="004F5547" w:rsidP="004F5547">
            <w:pPr>
              <w:pBdr>
                <w:top w:val="nil"/>
                <w:left w:val="nil"/>
                <w:bottom w:val="nil"/>
                <w:right w:val="nil"/>
                <w:between w:val="nil"/>
              </w:pBdr>
              <w:spacing w:before="0" w:after="0"/>
              <w:rPr>
                <w:b/>
                <w:color w:val="000000"/>
                <w:sz w:val="20"/>
                <w:szCs w:val="20"/>
              </w:rPr>
            </w:pPr>
            <w:r w:rsidRPr="004F5547">
              <w:rPr>
                <w:b/>
                <w:color w:val="000000"/>
                <w:sz w:val="20"/>
                <w:szCs w:val="20"/>
              </w:rPr>
              <w:t>(n = 56)</w:t>
            </w:r>
          </w:p>
        </w:tc>
        <w:tc>
          <w:tcPr>
            <w:tcW w:w="0" w:type="auto"/>
            <w:tcBorders>
              <w:top w:val="single" w:sz="4" w:space="0" w:color="auto"/>
              <w:bottom w:val="single" w:sz="4" w:space="0" w:color="auto"/>
            </w:tcBorders>
            <w:vAlign w:val="center"/>
            <w:hideMark/>
          </w:tcPr>
          <w:p w14:paraId="5AF05293" w14:textId="77777777" w:rsidR="004F5547" w:rsidRPr="004F5547" w:rsidRDefault="004F5547" w:rsidP="004F5547">
            <w:pPr>
              <w:pBdr>
                <w:top w:val="nil"/>
                <w:left w:val="nil"/>
                <w:bottom w:val="nil"/>
                <w:right w:val="nil"/>
                <w:between w:val="nil"/>
              </w:pBdr>
              <w:spacing w:before="0" w:after="0"/>
              <w:rPr>
                <w:b/>
                <w:color w:val="000000"/>
                <w:sz w:val="20"/>
                <w:szCs w:val="20"/>
              </w:rPr>
            </w:pPr>
            <w:r w:rsidRPr="004F5547">
              <w:rPr>
                <w:b/>
                <w:color w:val="000000"/>
                <w:sz w:val="20"/>
                <w:szCs w:val="20"/>
              </w:rPr>
              <w:t>p-value</w:t>
            </w:r>
          </w:p>
        </w:tc>
      </w:tr>
      <w:tr w:rsidR="004F5547" w:rsidRPr="004F5547" w14:paraId="223931FC" w14:textId="77777777" w:rsidTr="004F5547">
        <w:tc>
          <w:tcPr>
            <w:tcW w:w="0" w:type="auto"/>
            <w:tcBorders>
              <w:top w:val="single" w:sz="4" w:space="0" w:color="auto"/>
            </w:tcBorders>
            <w:hideMark/>
          </w:tcPr>
          <w:p w14:paraId="2698AD3B" w14:textId="77777777" w:rsidR="004F5547" w:rsidRPr="004F5547" w:rsidRDefault="004F5547" w:rsidP="004F5547">
            <w:pPr>
              <w:pBdr>
                <w:top w:val="nil"/>
                <w:left w:val="nil"/>
                <w:bottom w:val="nil"/>
                <w:right w:val="nil"/>
                <w:between w:val="nil"/>
              </w:pBdr>
              <w:spacing w:before="0" w:after="0"/>
              <w:jc w:val="both"/>
              <w:rPr>
                <w:b/>
                <w:bCs/>
                <w:color w:val="000000"/>
                <w:sz w:val="20"/>
                <w:szCs w:val="20"/>
              </w:rPr>
            </w:pPr>
            <w:r w:rsidRPr="004F5547">
              <w:rPr>
                <w:bCs/>
                <w:color w:val="000000"/>
                <w:sz w:val="20"/>
                <w:szCs w:val="20"/>
              </w:rPr>
              <w:t xml:space="preserve">Age (years), </w:t>
            </w:r>
            <w:r w:rsidRPr="004F5547">
              <w:rPr>
                <w:color w:val="000000"/>
                <w:sz w:val="20"/>
                <w:szCs w:val="20"/>
              </w:rPr>
              <w:t>Mean ± SD</w:t>
            </w:r>
          </w:p>
        </w:tc>
        <w:tc>
          <w:tcPr>
            <w:tcW w:w="0" w:type="auto"/>
            <w:tcBorders>
              <w:top w:val="single" w:sz="4" w:space="0" w:color="auto"/>
            </w:tcBorders>
            <w:vAlign w:val="center"/>
            <w:hideMark/>
          </w:tcPr>
          <w:p w14:paraId="4A3A72BF"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42,82 ± 2,05</w:t>
            </w:r>
          </w:p>
        </w:tc>
        <w:tc>
          <w:tcPr>
            <w:tcW w:w="0" w:type="auto"/>
            <w:tcBorders>
              <w:top w:val="single" w:sz="4" w:space="0" w:color="auto"/>
            </w:tcBorders>
            <w:vAlign w:val="center"/>
            <w:hideMark/>
          </w:tcPr>
          <w:p w14:paraId="3F50D9B6"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46,11 ± 2,18</w:t>
            </w:r>
          </w:p>
        </w:tc>
        <w:tc>
          <w:tcPr>
            <w:tcW w:w="0" w:type="auto"/>
            <w:tcBorders>
              <w:top w:val="single" w:sz="4" w:space="0" w:color="auto"/>
            </w:tcBorders>
            <w:vAlign w:val="center"/>
            <w:hideMark/>
          </w:tcPr>
          <w:p w14:paraId="1BBCEA2B"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46,94 ± 2,21</w:t>
            </w:r>
          </w:p>
        </w:tc>
        <w:tc>
          <w:tcPr>
            <w:tcW w:w="0" w:type="auto"/>
            <w:tcBorders>
              <w:top w:val="single" w:sz="4" w:space="0" w:color="auto"/>
            </w:tcBorders>
            <w:vAlign w:val="center"/>
            <w:hideMark/>
          </w:tcPr>
          <w:p w14:paraId="39703F4D"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0,41</w:t>
            </w:r>
          </w:p>
        </w:tc>
      </w:tr>
      <w:tr w:rsidR="004F5547" w:rsidRPr="004F5547" w14:paraId="0A7763ED" w14:textId="77777777" w:rsidTr="004F5547">
        <w:tc>
          <w:tcPr>
            <w:tcW w:w="0" w:type="auto"/>
            <w:hideMark/>
          </w:tcPr>
          <w:p w14:paraId="073F4F31" w14:textId="77777777" w:rsidR="004F5547" w:rsidRPr="004F5547" w:rsidRDefault="004F5547" w:rsidP="004F5547">
            <w:pPr>
              <w:pBdr>
                <w:top w:val="nil"/>
                <w:left w:val="nil"/>
                <w:bottom w:val="nil"/>
                <w:right w:val="nil"/>
                <w:between w:val="nil"/>
              </w:pBdr>
              <w:spacing w:before="0" w:after="0"/>
              <w:jc w:val="both"/>
              <w:rPr>
                <w:bCs/>
                <w:color w:val="000000"/>
                <w:sz w:val="20"/>
                <w:szCs w:val="20"/>
              </w:rPr>
            </w:pPr>
            <w:r w:rsidRPr="004F5547">
              <w:rPr>
                <w:bCs/>
                <w:color w:val="000000"/>
                <w:sz w:val="20"/>
                <w:szCs w:val="20"/>
              </w:rPr>
              <w:t xml:space="preserve">Duration of menopause (months), </w:t>
            </w:r>
          </w:p>
          <w:p w14:paraId="22CDB896" w14:textId="77777777" w:rsidR="004F5547" w:rsidRPr="004F5547" w:rsidRDefault="004F5547" w:rsidP="004F5547">
            <w:pPr>
              <w:pBdr>
                <w:top w:val="nil"/>
                <w:left w:val="nil"/>
                <w:bottom w:val="nil"/>
                <w:right w:val="nil"/>
                <w:between w:val="nil"/>
              </w:pBdr>
              <w:spacing w:before="0" w:after="0"/>
              <w:jc w:val="both"/>
              <w:rPr>
                <w:b/>
                <w:bCs/>
                <w:color w:val="000000"/>
                <w:sz w:val="20"/>
                <w:szCs w:val="20"/>
              </w:rPr>
            </w:pPr>
            <w:r w:rsidRPr="004F5547">
              <w:rPr>
                <w:bCs/>
                <w:color w:val="000000"/>
                <w:sz w:val="20"/>
                <w:szCs w:val="20"/>
              </w:rPr>
              <w:t>(Mean ± SD)</w:t>
            </w:r>
          </w:p>
        </w:tc>
        <w:tc>
          <w:tcPr>
            <w:tcW w:w="0" w:type="auto"/>
            <w:vAlign w:val="center"/>
            <w:hideMark/>
          </w:tcPr>
          <w:p w14:paraId="492F054B"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15,68 ± 3,90</w:t>
            </w:r>
          </w:p>
        </w:tc>
        <w:tc>
          <w:tcPr>
            <w:tcW w:w="0" w:type="auto"/>
            <w:vAlign w:val="center"/>
            <w:hideMark/>
          </w:tcPr>
          <w:p w14:paraId="2BEAEDEE"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16,12 ± 4,07</w:t>
            </w:r>
          </w:p>
        </w:tc>
        <w:tc>
          <w:tcPr>
            <w:tcW w:w="0" w:type="auto"/>
            <w:vAlign w:val="center"/>
            <w:hideMark/>
          </w:tcPr>
          <w:p w14:paraId="6EB69B93"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15,87 ± 3,84</w:t>
            </w:r>
          </w:p>
        </w:tc>
        <w:tc>
          <w:tcPr>
            <w:tcW w:w="0" w:type="auto"/>
            <w:vAlign w:val="center"/>
            <w:hideMark/>
          </w:tcPr>
          <w:p w14:paraId="6E7B479E"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0,59</w:t>
            </w:r>
          </w:p>
        </w:tc>
      </w:tr>
      <w:tr w:rsidR="004F5547" w:rsidRPr="004F5547" w14:paraId="398407A3" w14:textId="77777777" w:rsidTr="004F5547">
        <w:tc>
          <w:tcPr>
            <w:tcW w:w="0" w:type="auto"/>
            <w:hideMark/>
          </w:tcPr>
          <w:p w14:paraId="21412163" w14:textId="77777777" w:rsidR="004F5547" w:rsidRPr="004F5547" w:rsidRDefault="004F5547" w:rsidP="004F5547">
            <w:pPr>
              <w:pBdr>
                <w:top w:val="nil"/>
                <w:left w:val="nil"/>
                <w:bottom w:val="nil"/>
                <w:right w:val="nil"/>
                <w:between w:val="nil"/>
              </w:pBdr>
              <w:spacing w:before="0" w:after="0"/>
              <w:jc w:val="both"/>
              <w:rPr>
                <w:b/>
                <w:bCs/>
                <w:color w:val="000000"/>
                <w:sz w:val="20"/>
                <w:szCs w:val="20"/>
              </w:rPr>
            </w:pPr>
            <w:r w:rsidRPr="004F5547">
              <w:rPr>
                <w:bCs/>
                <w:color w:val="000000"/>
                <w:sz w:val="20"/>
                <w:szCs w:val="20"/>
              </w:rPr>
              <w:t>Number of pregnancies (Mean ± SD)</w:t>
            </w:r>
          </w:p>
        </w:tc>
        <w:tc>
          <w:tcPr>
            <w:tcW w:w="0" w:type="auto"/>
            <w:vAlign w:val="center"/>
            <w:hideMark/>
          </w:tcPr>
          <w:p w14:paraId="5AAAA5D6"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3,42 ± 1,33</w:t>
            </w:r>
          </w:p>
        </w:tc>
        <w:tc>
          <w:tcPr>
            <w:tcW w:w="0" w:type="auto"/>
            <w:vAlign w:val="center"/>
            <w:hideMark/>
          </w:tcPr>
          <w:p w14:paraId="5FA8D889"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3,65 ± 1,28</w:t>
            </w:r>
          </w:p>
        </w:tc>
        <w:tc>
          <w:tcPr>
            <w:tcW w:w="0" w:type="auto"/>
            <w:vAlign w:val="center"/>
            <w:hideMark/>
          </w:tcPr>
          <w:p w14:paraId="6B87D8C8"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3,58 ± 1,41</w:t>
            </w:r>
          </w:p>
        </w:tc>
        <w:tc>
          <w:tcPr>
            <w:tcW w:w="0" w:type="auto"/>
            <w:vAlign w:val="center"/>
            <w:hideMark/>
          </w:tcPr>
          <w:p w14:paraId="559468C4"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0,47</w:t>
            </w:r>
          </w:p>
        </w:tc>
      </w:tr>
      <w:tr w:rsidR="004F5547" w:rsidRPr="004F5547" w14:paraId="28691FEA" w14:textId="77777777" w:rsidTr="004F5547">
        <w:tc>
          <w:tcPr>
            <w:tcW w:w="0" w:type="auto"/>
            <w:hideMark/>
          </w:tcPr>
          <w:p w14:paraId="1925C94A" w14:textId="77777777" w:rsidR="004F5547" w:rsidRPr="004F5547" w:rsidRDefault="004F5547" w:rsidP="004F5547">
            <w:pPr>
              <w:pBdr>
                <w:top w:val="nil"/>
                <w:left w:val="nil"/>
                <w:bottom w:val="nil"/>
                <w:right w:val="nil"/>
                <w:between w:val="nil"/>
              </w:pBdr>
              <w:spacing w:before="0" w:after="0"/>
              <w:jc w:val="both"/>
              <w:rPr>
                <w:b/>
                <w:bCs/>
                <w:color w:val="000000"/>
                <w:sz w:val="20"/>
                <w:szCs w:val="20"/>
              </w:rPr>
            </w:pPr>
            <w:r w:rsidRPr="004F5547">
              <w:rPr>
                <w:bCs/>
                <w:color w:val="000000"/>
                <w:sz w:val="20"/>
                <w:szCs w:val="20"/>
              </w:rPr>
              <w:t>Number of family members (Mean ± SD)</w:t>
            </w:r>
          </w:p>
        </w:tc>
        <w:tc>
          <w:tcPr>
            <w:tcW w:w="0" w:type="auto"/>
            <w:vAlign w:val="center"/>
            <w:hideMark/>
          </w:tcPr>
          <w:p w14:paraId="59A7E3E3"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4,81 ± 1,07</w:t>
            </w:r>
          </w:p>
        </w:tc>
        <w:tc>
          <w:tcPr>
            <w:tcW w:w="0" w:type="auto"/>
            <w:vAlign w:val="center"/>
            <w:hideMark/>
          </w:tcPr>
          <w:p w14:paraId="18DE6AA9"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4,34 ± 0,95</w:t>
            </w:r>
          </w:p>
        </w:tc>
        <w:tc>
          <w:tcPr>
            <w:tcW w:w="0" w:type="auto"/>
            <w:vAlign w:val="center"/>
            <w:hideMark/>
          </w:tcPr>
          <w:p w14:paraId="27AE9E27"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4,56 ± 1,01</w:t>
            </w:r>
          </w:p>
        </w:tc>
        <w:tc>
          <w:tcPr>
            <w:tcW w:w="0" w:type="auto"/>
            <w:vAlign w:val="center"/>
            <w:hideMark/>
          </w:tcPr>
          <w:p w14:paraId="70F5FFF4" w14:textId="77777777" w:rsidR="004F5547" w:rsidRPr="004F5547" w:rsidRDefault="004F5547" w:rsidP="004F5547">
            <w:pPr>
              <w:pBdr>
                <w:top w:val="nil"/>
                <w:left w:val="nil"/>
                <w:bottom w:val="nil"/>
                <w:right w:val="nil"/>
                <w:between w:val="nil"/>
              </w:pBdr>
              <w:spacing w:before="0" w:after="0"/>
              <w:rPr>
                <w:b/>
                <w:color w:val="000000"/>
                <w:sz w:val="20"/>
                <w:szCs w:val="20"/>
              </w:rPr>
            </w:pPr>
            <w:r w:rsidRPr="004F5547">
              <w:rPr>
                <w:color w:val="000000"/>
                <w:sz w:val="20"/>
                <w:szCs w:val="20"/>
              </w:rPr>
              <w:t>0,04</w:t>
            </w:r>
          </w:p>
        </w:tc>
      </w:tr>
      <w:tr w:rsidR="004F5547" w:rsidRPr="004F5547" w14:paraId="0CB5926D" w14:textId="77777777" w:rsidTr="004F5547">
        <w:tc>
          <w:tcPr>
            <w:tcW w:w="0" w:type="auto"/>
            <w:gridSpan w:val="5"/>
            <w:hideMark/>
          </w:tcPr>
          <w:p w14:paraId="63FA199D" w14:textId="77777777" w:rsidR="004F5547" w:rsidRPr="004F5547" w:rsidRDefault="004F5547" w:rsidP="004F5547">
            <w:pPr>
              <w:pBdr>
                <w:top w:val="nil"/>
                <w:left w:val="nil"/>
                <w:bottom w:val="nil"/>
                <w:right w:val="nil"/>
                <w:between w:val="nil"/>
              </w:pBdr>
              <w:spacing w:before="0" w:after="0"/>
              <w:jc w:val="both"/>
              <w:rPr>
                <w:b/>
                <w:bCs/>
                <w:color w:val="000000"/>
                <w:sz w:val="20"/>
                <w:szCs w:val="20"/>
              </w:rPr>
            </w:pPr>
            <w:r w:rsidRPr="004F5547">
              <w:rPr>
                <w:bCs/>
                <w:color w:val="000000"/>
                <w:sz w:val="20"/>
                <w:szCs w:val="20"/>
              </w:rPr>
              <w:t>Education level</w:t>
            </w:r>
          </w:p>
        </w:tc>
      </w:tr>
      <w:tr w:rsidR="004F5547" w:rsidRPr="004F5547" w14:paraId="449385F8" w14:textId="77777777" w:rsidTr="004F5547">
        <w:tc>
          <w:tcPr>
            <w:tcW w:w="0" w:type="auto"/>
            <w:hideMark/>
          </w:tcPr>
          <w:p w14:paraId="2CBF12C6" w14:textId="77777777" w:rsidR="004F5547" w:rsidRPr="004F5547" w:rsidRDefault="004F5547" w:rsidP="004F5547">
            <w:pPr>
              <w:pBdr>
                <w:top w:val="nil"/>
                <w:left w:val="nil"/>
                <w:bottom w:val="nil"/>
                <w:right w:val="nil"/>
                <w:between w:val="nil"/>
              </w:pBdr>
              <w:spacing w:before="0" w:after="0"/>
              <w:jc w:val="both"/>
              <w:rPr>
                <w:b/>
                <w:color w:val="000000"/>
                <w:sz w:val="20"/>
                <w:szCs w:val="20"/>
              </w:rPr>
            </w:pPr>
            <w:r w:rsidRPr="004F5547">
              <w:rPr>
                <w:color w:val="000000"/>
                <w:sz w:val="20"/>
                <w:szCs w:val="20"/>
              </w:rPr>
              <w:t>Primary–Junior High School</w:t>
            </w:r>
          </w:p>
        </w:tc>
        <w:tc>
          <w:tcPr>
            <w:tcW w:w="0" w:type="auto"/>
            <w:vAlign w:val="center"/>
            <w:hideMark/>
          </w:tcPr>
          <w:p w14:paraId="39401218"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35 (61,4%)</w:t>
            </w:r>
          </w:p>
        </w:tc>
        <w:tc>
          <w:tcPr>
            <w:tcW w:w="0" w:type="auto"/>
            <w:vAlign w:val="center"/>
            <w:hideMark/>
          </w:tcPr>
          <w:p w14:paraId="6A02E63A"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33 (56,9%)</w:t>
            </w:r>
          </w:p>
        </w:tc>
        <w:tc>
          <w:tcPr>
            <w:tcW w:w="0" w:type="auto"/>
            <w:vAlign w:val="center"/>
            <w:hideMark/>
          </w:tcPr>
          <w:p w14:paraId="0C47322A"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37 (66,1%)</w:t>
            </w:r>
          </w:p>
        </w:tc>
        <w:tc>
          <w:tcPr>
            <w:tcW w:w="0" w:type="auto"/>
            <w:vMerge w:val="restart"/>
            <w:vAlign w:val="center"/>
            <w:hideMark/>
          </w:tcPr>
          <w:p w14:paraId="225C28BC" w14:textId="77777777" w:rsidR="004F5547" w:rsidRPr="004F5547" w:rsidRDefault="004F5547" w:rsidP="004F5547">
            <w:pPr>
              <w:pBdr>
                <w:top w:val="nil"/>
                <w:left w:val="nil"/>
                <w:bottom w:val="nil"/>
                <w:right w:val="nil"/>
                <w:between w:val="nil"/>
              </w:pBdr>
              <w:spacing w:before="0" w:after="0"/>
              <w:rPr>
                <w:b/>
                <w:color w:val="000000"/>
                <w:sz w:val="20"/>
                <w:szCs w:val="20"/>
              </w:rPr>
            </w:pPr>
            <w:r w:rsidRPr="004F5547">
              <w:rPr>
                <w:color w:val="000000"/>
                <w:sz w:val="20"/>
                <w:szCs w:val="20"/>
              </w:rPr>
              <w:t>0,03</w:t>
            </w:r>
          </w:p>
        </w:tc>
      </w:tr>
      <w:tr w:rsidR="004F5547" w:rsidRPr="004F5547" w14:paraId="161188D5" w14:textId="77777777" w:rsidTr="004F5547">
        <w:tc>
          <w:tcPr>
            <w:tcW w:w="0" w:type="auto"/>
            <w:hideMark/>
          </w:tcPr>
          <w:p w14:paraId="6A87547B" w14:textId="77777777" w:rsidR="004F5547" w:rsidRPr="004F5547" w:rsidRDefault="004F5547" w:rsidP="004F5547">
            <w:pPr>
              <w:pBdr>
                <w:top w:val="nil"/>
                <w:left w:val="nil"/>
                <w:bottom w:val="nil"/>
                <w:right w:val="nil"/>
                <w:between w:val="nil"/>
              </w:pBdr>
              <w:spacing w:before="0" w:after="0"/>
              <w:jc w:val="both"/>
              <w:rPr>
                <w:b/>
                <w:color w:val="000000"/>
                <w:sz w:val="20"/>
                <w:szCs w:val="20"/>
              </w:rPr>
            </w:pPr>
            <w:r w:rsidRPr="004F5547">
              <w:rPr>
                <w:color w:val="000000"/>
                <w:sz w:val="20"/>
                <w:szCs w:val="20"/>
              </w:rPr>
              <w:t>Senior High School and above</w:t>
            </w:r>
          </w:p>
        </w:tc>
        <w:tc>
          <w:tcPr>
            <w:tcW w:w="0" w:type="auto"/>
            <w:vAlign w:val="center"/>
            <w:hideMark/>
          </w:tcPr>
          <w:p w14:paraId="64C0E745"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22 (38,6%)</w:t>
            </w:r>
          </w:p>
        </w:tc>
        <w:tc>
          <w:tcPr>
            <w:tcW w:w="0" w:type="auto"/>
            <w:vAlign w:val="center"/>
            <w:hideMark/>
          </w:tcPr>
          <w:p w14:paraId="5775342E"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25 (43,1%)</w:t>
            </w:r>
          </w:p>
        </w:tc>
        <w:tc>
          <w:tcPr>
            <w:tcW w:w="0" w:type="auto"/>
            <w:vAlign w:val="center"/>
            <w:hideMark/>
          </w:tcPr>
          <w:p w14:paraId="465FBB0D"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19 (33,9%)</w:t>
            </w:r>
          </w:p>
        </w:tc>
        <w:tc>
          <w:tcPr>
            <w:tcW w:w="0" w:type="auto"/>
            <w:vMerge/>
            <w:hideMark/>
          </w:tcPr>
          <w:p w14:paraId="6197C29A" w14:textId="77777777" w:rsidR="004F5547" w:rsidRPr="004F5547" w:rsidRDefault="004F5547" w:rsidP="004F5547">
            <w:pPr>
              <w:pBdr>
                <w:top w:val="nil"/>
                <w:left w:val="nil"/>
                <w:bottom w:val="nil"/>
                <w:right w:val="nil"/>
                <w:between w:val="nil"/>
              </w:pBdr>
              <w:spacing w:before="0" w:after="0"/>
              <w:jc w:val="both"/>
              <w:rPr>
                <w:b/>
                <w:bCs/>
                <w:color w:val="000000"/>
                <w:sz w:val="20"/>
                <w:szCs w:val="20"/>
              </w:rPr>
            </w:pPr>
          </w:p>
        </w:tc>
      </w:tr>
      <w:tr w:rsidR="004F5547" w:rsidRPr="004F5547" w14:paraId="5661D879" w14:textId="77777777" w:rsidTr="004F5547">
        <w:tc>
          <w:tcPr>
            <w:tcW w:w="0" w:type="auto"/>
            <w:gridSpan w:val="5"/>
            <w:hideMark/>
          </w:tcPr>
          <w:p w14:paraId="39BB02A9" w14:textId="77777777" w:rsidR="004F5547" w:rsidRPr="004F5547" w:rsidRDefault="004F5547" w:rsidP="004F5547">
            <w:pPr>
              <w:pBdr>
                <w:top w:val="nil"/>
                <w:left w:val="nil"/>
                <w:bottom w:val="nil"/>
                <w:right w:val="nil"/>
                <w:between w:val="nil"/>
              </w:pBdr>
              <w:spacing w:before="0" w:after="0"/>
              <w:jc w:val="both"/>
              <w:rPr>
                <w:b/>
                <w:bCs/>
                <w:color w:val="000000"/>
                <w:sz w:val="20"/>
                <w:szCs w:val="20"/>
              </w:rPr>
            </w:pPr>
            <w:r w:rsidRPr="004F5547">
              <w:rPr>
                <w:bCs/>
                <w:color w:val="000000"/>
                <w:sz w:val="20"/>
                <w:szCs w:val="20"/>
              </w:rPr>
              <w:t>Occupation</w:t>
            </w:r>
          </w:p>
        </w:tc>
      </w:tr>
      <w:tr w:rsidR="004F5547" w:rsidRPr="004F5547" w14:paraId="20E87B1D" w14:textId="77777777" w:rsidTr="004F5547">
        <w:tc>
          <w:tcPr>
            <w:tcW w:w="0" w:type="auto"/>
            <w:hideMark/>
          </w:tcPr>
          <w:p w14:paraId="02BA73F3" w14:textId="77777777" w:rsidR="004F5547" w:rsidRPr="004F5547" w:rsidRDefault="004F5547" w:rsidP="004F5547">
            <w:pPr>
              <w:pBdr>
                <w:top w:val="nil"/>
                <w:left w:val="nil"/>
                <w:bottom w:val="nil"/>
                <w:right w:val="nil"/>
                <w:between w:val="nil"/>
              </w:pBdr>
              <w:spacing w:before="0" w:after="0"/>
              <w:jc w:val="both"/>
              <w:rPr>
                <w:b/>
                <w:color w:val="000000"/>
                <w:sz w:val="20"/>
                <w:szCs w:val="20"/>
              </w:rPr>
            </w:pPr>
            <w:r w:rsidRPr="004F5547">
              <w:rPr>
                <w:color w:val="000000"/>
                <w:sz w:val="20"/>
                <w:szCs w:val="20"/>
              </w:rPr>
              <w:t>Housewife</w:t>
            </w:r>
          </w:p>
        </w:tc>
        <w:tc>
          <w:tcPr>
            <w:tcW w:w="0" w:type="auto"/>
            <w:vAlign w:val="center"/>
            <w:hideMark/>
          </w:tcPr>
          <w:p w14:paraId="45FEEA86"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30 (52,6%)</w:t>
            </w:r>
          </w:p>
        </w:tc>
        <w:tc>
          <w:tcPr>
            <w:tcW w:w="0" w:type="auto"/>
            <w:vAlign w:val="center"/>
            <w:hideMark/>
          </w:tcPr>
          <w:p w14:paraId="5F77E7D4"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32 (55,2%)</w:t>
            </w:r>
          </w:p>
        </w:tc>
        <w:tc>
          <w:tcPr>
            <w:tcW w:w="0" w:type="auto"/>
            <w:vAlign w:val="center"/>
            <w:hideMark/>
          </w:tcPr>
          <w:p w14:paraId="160595FF"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28 (50,0%)</w:t>
            </w:r>
          </w:p>
        </w:tc>
        <w:tc>
          <w:tcPr>
            <w:tcW w:w="0" w:type="auto"/>
            <w:vMerge w:val="restart"/>
            <w:vAlign w:val="center"/>
            <w:hideMark/>
          </w:tcPr>
          <w:p w14:paraId="6F581347"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0,48</w:t>
            </w:r>
          </w:p>
        </w:tc>
      </w:tr>
      <w:tr w:rsidR="004F5547" w:rsidRPr="004F5547" w14:paraId="1929ED50" w14:textId="77777777" w:rsidTr="004F5547">
        <w:tc>
          <w:tcPr>
            <w:tcW w:w="0" w:type="auto"/>
            <w:hideMark/>
          </w:tcPr>
          <w:p w14:paraId="11C7C5CE" w14:textId="77777777" w:rsidR="004F5547" w:rsidRPr="004F5547" w:rsidRDefault="004F5547" w:rsidP="004F5547">
            <w:pPr>
              <w:pBdr>
                <w:top w:val="nil"/>
                <w:left w:val="nil"/>
                <w:bottom w:val="nil"/>
                <w:right w:val="nil"/>
                <w:between w:val="nil"/>
              </w:pBdr>
              <w:spacing w:before="0" w:after="0"/>
              <w:jc w:val="both"/>
              <w:rPr>
                <w:b/>
                <w:color w:val="000000"/>
                <w:sz w:val="20"/>
                <w:szCs w:val="20"/>
              </w:rPr>
            </w:pPr>
            <w:r w:rsidRPr="004F5547">
              <w:rPr>
                <w:color w:val="000000"/>
                <w:sz w:val="20"/>
                <w:szCs w:val="20"/>
              </w:rPr>
              <w:t>Self-employed</w:t>
            </w:r>
          </w:p>
        </w:tc>
        <w:tc>
          <w:tcPr>
            <w:tcW w:w="0" w:type="auto"/>
            <w:vAlign w:val="center"/>
            <w:hideMark/>
          </w:tcPr>
          <w:p w14:paraId="37FC2124"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14 (24,6%)</w:t>
            </w:r>
          </w:p>
        </w:tc>
        <w:tc>
          <w:tcPr>
            <w:tcW w:w="0" w:type="auto"/>
            <w:vAlign w:val="center"/>
            <w:hideMark/>
          </w:tcPr>
          <w:p w14:paraId="5E90297C"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13 (22,4%)</w:t>
            </w:r>
          </w:p>
        </w:tc>
        <w:tc>
          <w:tcPr>
            <w:tcW w:w="0" w:type="auto"/>
            <w:vAlign w:val="center"/>
            <w:hideMark/>
          </w:tcPr>
          <w:p w14:paraId="5B9457DB"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15 (26,8%)</w:t>
            </w:r>
          </w:p>
        </w:tc>
        <w:tc>
          <w:tcPr>
            <w:tcW w:w="0" w:type="auto"/>
            <w:vMerge/>
            <w:hideMark/>
          </w:tcPr>
          <w:p w14:paraId="64FB5648" w14:textId="77777777" w:rsidR="004F5547" w:rsidRPr="004F5547" w:rsidRDefault="004F5547" w:rsidP="004F5547">
            <w:pPr>
              <w:pBdr>
                <w:top w:val="nil"/>
                <w:left w:val="nil"/>
                <w:bottom w:val="nil"/>
                <w:right w:val="nil"/>
                <w:between w:val="nil"/>
              </w:pBdr>
              <w:spacing w:before="0" w:after="0"/>
              <w:jc w:val="both"/>
              <w:rPr>
                <w:b/>
                <w:bCs/>
                <w:color w:val="000000"/>
                <w:sz w:val="20"/>
                <w:szCs w:val="20"/>
              </w:rPr>
            </w:pPr>
          </w:p>
        </w:tc>
      </w:tr>
      <w:tr w:rsidR="004F5547" w:rsidRPr="004F5547" w14:paraId="5F41A178" w14:textId="77777777" w:rsidTr="004F5547">
        <w:tc>
          <w:tcPr>
            <w:tcW w:w="0" w:type="auto"/>
            <w:hideMark/>
          </w:tcPr>
          <w:p w14:paraId="7881D1C7" w14:textId="77777777" w:rsidR="004F5547" w:rsidRPr="004F5547" w:rsidRDefault="004F5547" w:rsidP="004F5547">
            <w:pPr>
              <w:pBdr>
                <w:top w:val="nil"/>
                <w:left w:val="nil"/>
                <w:bottom w:val="nil"/>
                <w:right w:val="nil"/>
                <w:between w:val="nil"/>
              </w:pBdr>
              <w:spacing w:before="0" w:after="0"/>
              <w:jc w:val="both"/>
              <w:rPr>
                <w:b/>
                <w:color w:val="000000"/>
                <w:sz w:val="20"/>
                <w:szCs w:val="20"/>
              </w:rPr>
            </w:pPr>
            <w:r w:rsidRPr="004F5547">
              <w:rPr>
                <w:color w:val="000000"/>
                <w:sz w:val="20"/>
                <w:szCs w:val="20"/>
              </w:rPr>
              <w:t>Farmer/Laborer</w:t>
            </w:r>
          </w:p>
        </w:tc>
        <w:tc>
          <w:tcPr>
            <w:tcW w:w="0" w:type="auto"/>
            <w:vAlign w:val="center"/>
            <w:hideMark/>
          </w:tcPr>
          <w:p w14:paraId="2759B695"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13 (22,8%)</w:t>
            </w:r>
          </w:p>
        </w:tc>
        <w:tc>
          <w:tcPr>
            <w:tcW w:w="0" w:type="auto"/>
            <w:vAlign w:val="center"/>
            <w:hideMark/>
          </w:tcPr>
          <w:p w14:paraId="37BE2C33"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13 (22,4%)</w:t>
            </w:r>
          </w:p>
        </w:tc>
        <w:tc>
          <w:tcPr>
            <w:tcW w:w="0" w:type="auto"/>
            <w:vAlign w:val="center"/>
            <w:hideMark/>
          </w:tcPr>
          <w:p w14:paraId="15B2719A"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13 (23,2%)</w:t>
            </w:r>
          </w:p>
        </w:tc>
        <w:tc>
          <w:tcPr>
            <w:tcW w:w="0" w:type="auto"/>
            <w:vMerge/>
            <w:hideMark/>
          </w:tcPr>
          <w:p w14:paraId="79BCE8F3" w14:textId="77777777" w:rsidR="004F5547" w:rsidRPr="004F5547" w:rsidRDefault="004F5547" w:rsidP="004F5547">
            <w:pPr>
              <w:pBdr>
                <w:top w:val="nil"/>
                <w:left w:val="nil"/>
                <w:bottom w:val="nil"/>
                <w:right w:val="nil"/>
                <w:between w:val="nil"/>
              </w:pBdr>
              <w:spacing w:before="0" w:after="0"/>
              <w:jc w:val="both"/>
              <w:rPr>
                <w:b/>
                <w:bCs/>
                <w:color w:val="000000"/>
                <w:sz w:val="20"/>
                <w:szCs w:val="20"/>
              </w:rPr>
            </w:pPr>
          </w:p>
        </w:tc>
      </w:tr>
      <w:tr w:rsidR="004F5547" w:rsidRPr="004F5547" w14:paraId="7B606357" w14:textId="77777777" w:rsidTr="004F5547">
        <w:tc>
          <w:tcPr>
            <w:tcW w:w="0" w:type="auto"/>
            <w:tcBorders>
              <w:bottom w:val="single" w:sz="4" w:space="0" w:color="auto"/>
            </w:tcBorders>
            <w:hideMark/>
          </w:tcPr>
          <w:p w14:paraId="73DC67B6" w14:textId="77777777" w:rsidR="004F5547" w:rsidRPr="004F5547" w:rsidRDefault="004F5547" w:rsidP="004F5547">
            <w:pPr>
              <w:pBdr>
                <w:top w:val="nil"/>
                <w:left w:val="nil"/>
                <w:bottom w:val="nil"/>
                <w:right w:val="nil"/>
                <w:between w:val="nil"/>
              </w:pBdr>
              <w:spacing w:before="0" w:after="0"/>
              <w:jc w:val="both"/>
              <w:rPr>
                <w:b/>
                <w:bCs/>
                <w:color w:val="000000"/>
                <w:sz w:val="20"/>
                <w:szCs w:val="20"/>
              </w:rPr>
            </w:pPr>
            <w:r w:rsidRPr="004F5547">
              <w:rPr>
                <w:bCs/>
                <w:color w:val="000000"/>
                <w:sz w:val="20"/>
                <w:szCs w:val="20"/>
              </w:rPr>
              <w:t>Marital status (married)</w:t>
            </w:r>
          </w:p>
        </w:tc>
        <w:tc>
          <w:tcPr>
            <w:tcW w:w="0" w:type="auto"/>
            <w:tcBorders>
              <w:bottom w:val="single" w:sz="4" w:space="0" w:color="auto"/>
            </w:tcBorders>
            <w:vAlign w:val="center"/>
            <w:hideMark/>
          </w:tcPr>
          <w:p w14:paraId="69839944"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54 (94,7%)</w:t>
            </w:r>
          </w:p>
        </w:tc>
        <w:tc>
          <w:tcPr>
            <w:tcW w:w="0" w:type="auto"/>
            <w:tcBorders>
              <w:bottom w:val="single" w:sz="4" w:space="0" w:color="auto"/>
            </w:tcBorders>
            <w:vAlign w:val="center"/>
            <w:hideMark/>
          </w:tcPr>
          <w:p w14:paraId="789BB21F"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55 (94,8%)</w:t>
            </w:r>
          </w:p>
        </w:tc>
        <w:tc>
          <w:tcPr>
            <w:tcW w:w="0" w:type="auto"/>
            <w:tcBorders>
              <w:bottom w:val="single" w:sz="4" w:space="0" w:color="auto"/>
            </w:tcBorders>
            <w:vAlign w:val="center"/>
            <w:hideMark/>
          </w:tcPr>
          <w:p w14:paraId="080D4919"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52 (92,9%)</w:t>
            </w:r>
          </w:p>
        </w:tc>
        <w:tc>
          <w:tcPr>
            <w:tcW w:w="0" w:type="auto"/>
            <w:tcBorders>
              <w:bottom w:val="single" w:sz="4" w:space="0" w:color="auto"/>
            </w:tcBorders>
            <w:vAlign w:val="center"/>
            <w:hideMark/>
          </w:tcPr>
          <w:p w14:paraId="00BA050D" w14:textId="77777777" w:rsidR="004F5547" w:rsidRPr="004F5547" w:rsidRDefault="004F5547" w:rsidP="004F5547">
            <w:pPr>
              <w:pBdr>
                <w:top w:val="nil"/>
                <w:left w:val="nil"/>
                <w:bottom w:val="nil"/>
                <w:right w:val="nil"/>
                <w:between w:val="nil"/>
              </w:pBdr>
              <w:spacing w:before="0" w:after="0"/>
              <w:rPr>
                <w:b/>
                <w:bCs/>
                <w:color w:val="000000"/>
                <w:sz w:val="20"/>
                <w:szCs w:val="20"/>
              </w:rPr>
            </w:pPr>
            <w:r w:rsidRPr="004F5547">
              <w:rPr>
                <w:bCs/>
                <w:color w:val="000000"/>
                <w:sz w:val="20"/>
                <w:szCs w:val="20"/>
              </w:rPr>
              <w:t>0,73</w:t>
            </w:r>
          </w:p>
        </w:tc>
      </w:tr>
    </w:tbl>
    <w:p w14:paraId="635D9CE5" w14:textId="77777777" w:rsidR="004F5547" w:rsidRPr="004F5547" w:rsidRDefault="004F5547" w:rsidP="004F5547">
      <w:pPr>
        <w:pBdr>
          <w:top w:val="nil"/>
          <w:left w:val="nil"/>
          <w:bottom w:val="nil"/>
          <w:right w:val="nil"/>
          <w:between w:val="nil"/>
        </w:pBdr>
        <w:spacing w:before="0" w:after="0"/>
        <w:jc w:val="both"/>
        <w:rPr>
          <w:rFonts w:eastAsia="Times New Roman" w:cs="Times New Roman"/>
          <w:b w:val="0"/>
          <w:color w:val="000000"/>
          <w:sz w:val="16"/>
          <w:szCs w:val="16"/>
          <w:lang w:val="en-AU" w:eastAsia="en-ID"/>
        </w:rPr>
      </w:pPr>
      <w:r w:rsidRPr="004F5547">
        <w:rPr>
          <w:rFonts w:eastAsia="Times New Roman" w:cs="Times New Roman"/>
          <w:b w:val="0"/>
          <w:color w:val="000000"/>
          <w:sz w:val="16"/>
          <w:szCs w:val="16"/>
          <w:lang w:val="en-AU" w:eastAsia="en-ID"/>
        </w:rPr>
        <w:t>*</w:t>
      </w:r>
      <w:r w:rsidRPr="004F5547">
        <w:rPr>
          <w:rFonts w:eastAsia="Times New Roman" w:cs="Times New Roman"/>
          <w:b w:val="0"/>
          <w:szCs w:val="28"/>
          <w:lang w:val="en-AU" w:eastAsia="en-ID"/>
        </w:rPr>
        <w:t xml:space="preserve"> </w:t>
      </w:r>
      <w:r w:rsidRPr="004F5547">
        <w:rPr>
          <w:rFonts w:eastAsia="Times New Roman" w:cs="Times New Roman"/>
          <w:b w:val="0"/>
          <w:color w:val="000000"/>
          <w:sz w:val="16"/>
          <w:szCs w:val="16"/>
          <w:lang w:val="en-AU" w:eastAsia="en-ID"/>
        </w:rPr>
        <w:t>ANOVA test was used for numerical variables and Chi-square test for categorical variables.</w:t>
      </w:r>
    </w:p>
    <w:p w14:paraId="7E9D2D00" w14:textId="1958EA4A" w:rsidR="004F5547" w:rsidRPr="004F5547" w:rsidRDefault="004F5547" w:rsidP="004F5547">
      <w:pPr>
        <w:pStyle w:val="10TableandFigureName"/>
        <w:spacing w:before="0" w:after="0"/>
        <w:jc w:val="both"/>
      </w:pPr>
      <w:r w:rsidRPr="004F5547">
        <w:rPr>
          <w:rFonts w:eastAsia="Times New Roman" w:cs="Times New Roman"/>
          <w:sz w:val="16"/>
          <w:szCs w:val="16"/>
          <w:lang w:val="en-AU" w:eastAsia="en-ID"/>
        </w:rPr>
        <w:t>*</w:t>
      </w:r>
      <w:r w:rsidRPr="004F5547">
        <w:rPr>
          <w:rFonts w:eastAsia="Times New Roman" w:cs="Times New Roman"/>
          <w:color w:val="4472C4" w:themeColor="accent1"/>
          <w:sz w:val="28"/>
          <w:szCs w:val="28"/>
          <w:lang w:val="en-AU" w:eastAsia="en-ID"/>
        </w:rPr>
        <w:t xml:space="preserve"> </w:t>
      </w:r>
      <w:r w:rsidRPr="004F5547">
        <w:rPr>
          <w:rFonts w:eastAsia="Times New Roman" w:cs="Times New Roman"/>
          <w:sz w:val="16"/>
          <w:szCs w:val="16"/>
          <w:lang w:val="en-AU" w:eastAsia="en-ID"/>
        </w:rPr>
        <w:t>p &lt; 0.05 indicates statistically significant differences.</w:t>
      </w:r>
    </w:p>
    <w:p w14:paraId="7EB4E7A1" w14:textId="2F888D79" w:rsidR="004F5547" w:rsidRPr="004F5547" w:rsidRDefault="004F5547" w:rsidP="00366659">
      <w:pPr>
        <w:pStyle w:val="9Paragraph0"/>
      </w:pPr>
      <w:r w:rsidRPr="004F5547">
        <w:t>Based on Table 3, participants’ mean age ranged from 42 to 46 years, with an average duration of menopause of approximately 15–16 months. Most participants had a middle level of education (primary to senior high school) and were married. The majority were housewives or engaged in informal occupations, such as farming, labor, or small-scale self-employment. Baseline homogeneity testing demonstrated that the three intervention groups were comparable across most sociodemographic characteristics, with the exception of education level and number of family members, both of which showed statistically significant differences (p &lt; 0.05).</w:t>
      </w:r>
    </w:p>
    <w:p w14:paraId="0F7852FB" w14:textId="77777777" w:rsidR="004F5547" w:rsidRDefault="004F5547" w:rsidP="004F5547">
      <w:pPr>
        <w:pStyle w:val="10TableandFigureName"/>
      </w:pPr>
      <w:r w:rsidRPr="004F5547">
        <w:rPr>
          <w:rFonts w:eastAsia="Times New Roman"/>
          <w:b/>
          <w:bCs/>
          <w:color w:val="4472C4" w:themeColor="accent1"/>
          <w:lang w:eastAsia="id-ID"/>
        </w:rPr>
        <w:t>Table 4.</w:t>
      </w:r>
      <w:r w:rsidRPr="004F5547">
        <w:t xml:space="preserve"> Comparison of Mean (± SD) MENQOL Scores Across Three Measurement Points by Intervention Group</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1766"/>
        <w:gridCol w:w="1777"/>
        <w:gridCol w:w="2471"/>
        <w:gridCol w:w="933"/>
      </w:tblGrid>
      <w:tr w:rsidR="004F5547" w:rsidRPr="004F5547" w14:paraId="17345804" w14:textId="77777777" w:rsidTr="004F5547">
        <w:tc>
          <w:tcPr>
            <w:tcW w:w="0" w:type="auto"/>
            <w:vMerge w:val="restart"/>
            <w:tcBorders>
              <w:top w:val="single" w:sz="4" w:space="0" w:color="auto"/>
              <w:bottom w:val="single" w:sz="4" w:space="0" w:color="auto"/>
            </w:tcBorders>
            <w:vAlign w:val="center"/>
            <w:hideMark/>
          </w:tcPr>
          <w:p w14:paraId="53381D38" w14:textId="77777777" w:rsidR="004F5547" w:rsidRPr="004F5547" w:rsidRDefault="004F5547" w:rsidP="004F5547">
            <w:pPr>
              <w:spacing w:before="0" w:after="0"/>
              <w:rPr>
                <w:bCs/>
                <w:color w:val="auto"/>
                <w:sz w:val="20"/>
                <w:szCs w:val="20"/>
              </w:rPr>
            </w:pPr>
            <w:r w:rsidRPr="004F5547">
              <w:rPr>
                <w:bCs/>
                <w:color w:val="auto"/>
                <w:sz w:val="20"/>
                <w:szCs w:val="20"/>
              </w:rPr>
              <w:t>Groups</w:t>
            </w:r>
          </w:p>
        </w:tc>
        <w:tc>
          <w:tcPr>
            <w:tcW w:w="0" w:type="auto"/>
            <w:tcBorders>
              <w:top w:val="single" w:sz="4" w:space="0" w:color="auto"/>
              <w:bottom w:val="single" w:sz="4" w:space="0" w:color="auto"/>
            </w:tcBorders>
            <w:hideMark/>
          </w:tcPr>
          <w:p w14:paraId="2AC5C1CA" w14:textId="77777777" w:rsidR="004F5547" w:rsidRPr="004F5547" w:rsidRDefault="004F5547" w:rsidP="004F5547">
            <w:pPr>
              <w:spacing w:before="0" w:after="0"/>
              <w:rPr>
                <w:bCs/>
                <w:color w:val="auto"/>
                <w:sz w:val="20"/>
                <w:szCs w:val="20"/>
              </w:rPr>
            </w:pPr>
            <w:r w:rsidRPr="004F5547">
              <w:rPr>
                <w:bCs/>
                <w:color w:val="auto"/>
                <w:sz w:val="20"/>
                <w:szCs w:val="20"/>
              </w:rPr>
              <w:t xml:space="preserve">Evaluation time </w:t>
            </w:r>
          </w:p>
          <w:p w14:paraId="7FA8310E" w14:textId="77777777" w:rsidR="004F5547" w:rsidRPr="004F5547" w:rsidRDefault="004F5547" w:rsidP="004F5547">
            <w:pPr>
              <w:spacing w:before="0" w:after="0"/>
              <w:rPr>
                <w:bCs/>
                <w:color w:val="auto"/>
                <w:sz w:val="20"/>
                <w:szCs w:val="20"/>
              </w:rPr>
            </w:pPr>
            <w:r w:rsidRPr="004F5547">
              <w:rPr>
                <w:bCs/>
                <w:color w:val="auto"/>
                <w:sz w:val="20"/>
                <w:szCs w:val="20"/>
              </w:rPr>
              <w:t>(Mean ± SD)</w:t>
            </w:r>
          </w:p>
        </w:tc>
        <w:tc>
          <w:tcPr>
            <w:tcW w:w="0" w:type="auto"/>
            <w:tcBorders>
              <w:top w:val="single" w:sz="4" w:space="0" w:color="auto"/>
              <w:bottom w:val="single" w:sz="4" w:space="0" w:color="auto"/>
            </w:tcBorders>
            <w:hideMark/>
          </w:tcPr>
          <w:p w14:paraId="726EDBA5" w14:textId="77777777" w:rsidR="004F5547" w:rsidRPr="004F5547" w:rsidRDefault="004F5547" w:rsidP="004F5547">
            <w:pPr>
              <w:spacing w:before="0" w:after="0"/>
              <w:rPr>
                <w:bCs/>
                <w:color w:val="auto"/>
                <w:sz w:val="20"/>
                <w:szCs w:val="20"/>
              </w:rPr>
            </w:pPr>
            <w:r w:rsidRPr="004F5547">
              <w:rPr>
                <w:bCs/>
                <w:color w:val="auto"/>
                <w:sz w:val="20"/>
                <w:szCs w:val="20"/>
              </w:rPr>
              <w:t>Repeated measure</w:t>
            </w:r>
          </w:p>
        </w:tc>
        <w:tc>
          <w:tcPr>
            <w:tcW w:w="0" w:type="auto"/>
            <w:tcBorders>
              <w:top w:val="single" w:sz="4" w:space="0" w:color="auto"/>
              <w:bottom w:val="single" w:sz="4" w:space="0" w:color="auto"/>
            </w:tcBorders>
            <w:hideMark/>
          </w:tcPr>
          <w:p w14:paraId="21ED48FF" w14:textId="77777777" w:rsidR="004F5547" w:rsidRPr="004F5547" w:rsidRDefault="004F5547" w:rsidP="004F5547">
            <w:pPr>
              <w:spacing w:before="0" w:after="0"/>
              <w:rPr>
                <w:bCs/>
                <w:color w:val="auto"/>
                <w:sz w:val="20"/>
                <w:szCs w:val="20"/>
              </w:rPr>
            </w:pPr>
            <w:r w:rsidRPr="004F5547">
              <w:rPr>
                <w:bCs/>
                <w:color w:val="auto"/>
                <w:sz w:val="20"/>
                <w:szCs w:val="20"/>
              </w:rPr>
              <w:t>Evaluation time comparison</w:t>
            </w:r>
          </w:p>
        </w:tc>
        <w:tc>
          <w:tcPr>
            <w:tcW w:w="0" w:type="auto"/>
            <w:tcBorders>
              <w:top w:val="single" w:sz="4" w:space="0" w:color="auto"/>
              <w:bottom w:val="single" w:sz="4" w:space="0" w:color="auto"/>
            </w:tcBorders>
            <w:hideMark/>
          </w:tcPr>
          <w:p w14:paraId="27162273" w14:textId="77777777" w:rsidR="004F5547" w:rsidRPr="004F5547" w:rsidRDefault="004F5547" w:rsidP="004F5547">
            <w:pPr>
              <w:spacing w:before="0" w:after="0"/>
              <w:rPr>
                <w:bCs/>
                <w:color w:val="auto"/>
                <w:sz w:val="20"/>
                <w:szCs w:val="20"/>
              </w:rPr>
            </w:pPr>
            <w:r w:rsidRPr="004F5547">
              <w:rPr>
                <w:bCs/>
                <w:color w:val="auto"/>
                <w:sz w:val="20"/>
                <w:szCs w:val="20"/>
              </w:rPr>
              <w:t>p-value</w:t>
            </w:r>
          </w:p>
        </w:tc>
      </w:tr>
      <w:tr w:rsidR="004F5547" w:rsidRPr="004F5547" w14:paraId="40725BFF" w14:textId="77777777" w:rsidTr="004F5547">
        <w:tc>
          <w:tcPr>
            <w:tcW w:w="0" w:type="auto"/>
            <w:vMerge/>
            <w:tcBorders>
              <w:top w:val="single" w:sz="4" w:space="0" w:color="auto"/>
            </w:tcBorders>
            <w:hideMark/>
          </w:tcPr>
          <w:p w14:paraId="4E215ACF" w14:textId="77777777" w:rsidR="004F5547" w:rsidRPr="004F5547" w:rsidRDefault="004F5547" w:rsidP="004F5547">
            <w:pPr>
              <w:spacing w:before="0" w:after="0"/>
              <w:rPr>
                <w:bCs/>
                <w:color w:val="auto"/>
                <w:sz w:val="20"/>
                <w:szCs w:val="20"/>
              </w:rPr>
            </w:pPr>
          </w:p>
        </w:tc>
        <w:tc>
          <w:tcPr>
            <w:tcW w:w="0" w:type="auto"/>
            <w:tcBorders>
              <w:top w:val="single" w:sz="4" w:space="0" w:color="auto"/>
              <w:bottom w:val="single" w:sz="4" w:space="0" w:color="auto"/>
            </w:tcBorders>
            <w:hideMark/>
          </w:tcPr>
          <w:p w14:paraId="70A58A5E" w14:textId="77777777" w:rsidR="004F5547" w:rsidRPr="004F5547" w:rsidRDefault="004F5547" w:rsidP="004F5547">
            <w:pPr>
              <w:spacing w:before="0" w:after="0"/>
              <w:rPr>
                <w:bCs/>
                <w:color w:val="auto"/>
                <w:sz w:val="20"/>
                <w:szCs w:val="20"/>
              </w:rPr>
            </w:pPr>
            <w:r w:rsidRPr="004F5547">
              <w:rPr>
                <w:bCs/>
                <w:color w:val="auto"/>
                <w:sz w:val="20"/>
                <w:szCs w:val="20"/>
              </w:rPr>
              <w:t xml:space="preserve">a one month period </w:t>
            </w:r>
          </w:p>
          <w:p w14:paraId="19BA29D1" w14:textId="77777777" w:rsidR="004F5547" w:rsidRPr="004F5547" w:rsidRDefault="004F5547" w:rsidP="004F5547">
            <w:pPr>
              <w:spacing w:before="0" w:after="0"/>
              <w:rPr>
                <w:b/>
                <w:color w:val="auto"/>
                <w:sz w:val="20"/>
                <w:szCs w:val="20"/>
              </w:rPr>
            </w:pPr>
            <w:r w:rsidRPr="004F5547">
              <w:rPr>
                <w:bCs/>
                <w:color w:val="auto"/>
                <w:sz w:val="20"/>
                <w:szCs w:val="20"/>
              </w:rPr>
              <w:t>(Pre)</w:t>
            </w:r>
          </w:p>
        </w:tc>
        <w:tc>
          <w:tcPr>
            <w:tcW w:w="0" w:type="auto"/>
            <w:tcBorders>
              <w:top w:val="single" w:sz="4" w:space="0" w:color="auto"/>
              <w:bottom w:val="single" w:sz="4" w:space="0" w:color="auto"/>
            </w:tcBorders>
            <w:hideMark/>
          </w:tcPr>
          <w:p w14:paraId="15E2FF89" w14:textId="77777777" w:rsidR="004F5547" w:rsidRPr="004F5547" w:rsidRDefault="004F5547" w:rsidP="004F5547">
            <w:pPr>
              <w:spacing w:before="0" w:after="0"/>
              <w:rPr>
                <w:b/>
                <w:color w:val="auto"/>
                <w:sz w:val="20"/>
                <w:szCs w:val="20"/>
              </w:rPr>
            </w:pPr>
            <w:r w:rsidRPr="004F5547">
              <w:rPr>
                <w:bCs/>
                <w:color w:val="auto"/>
                <w:sz w:val="20"/>
                <w:szCs w:val="20"/>
              </w:rPr>
              <w:t>a two month period</w:t>
            </w:r>
          </w:p>
        </w:tc>
        <w:tc>
          <w:tcPr>
            <w:tcW w:w="0" w:type="auto"/>
            <w:tcBorders>
              <w:top w:val="single" w:sz="4" w:space="0" w:color="auto"/>
              <w:bottom w:val="single" w:sz="4" w:space="0" w:color="auto"/>
            </w:tcBorders>
            <w:hideMark/>
          </w:tcPr>
          <w:p w14:paraId="4071DE9F" w14:textId="77777777" w:rsidR="004F5547" w:rsidRPr="004F5547" w:rsidRDefault="004F5547" w:rsidP="004F5547">
            <w:pPr>
              <w:spacing w:before="0" w:after="0"/>
              <w:rPr>
                <w:bCs/>
                <w:color w:val="auto"/>
                <w:sz w:val="20"/>
                <w:szCs w:val="20"/>
              </w:rPr>
            </w:pPr>
            <w:r w:rsidRPr="004F5547">
              <w:rPr>
                <w:bCs/>
                <w:color w:val="auto"/>
                <w:sz w:val="20"/>
                <w:szCs w:val="20"/>
              </w:rPr>
              <w:t xml:space="preserve">a three month </w:t>
            </w:r>
          </w:p>
          <w:p w14:paraId="6B7647E9" w14:textId="77777777" w:rsidR="004F5547" w:rsidRPr="004F5547" w:rsidRDefault="004F5547" w:rsidP="004F5547">
            <w:pPr>
              <w:spacing w:before="0" w:after="0"/>
              <w:rPr>
                <w:b/>
                <w:color w:val="auto"/>
                <w:sz w:val="20"/>
                <w:szCs w:val="20"/>
              </w:rPr>
            </w:pPr>
            <w:r w:rsidRPr="004F5547">
              <w:rPr>
                <w:bCs/>
                <w:color w:val="auto"/>
                <w:sz w:val="20"/>
                <w:szCs w:val="20"/>
              </w:rPr>
              <w:t>period</w:t>
            </w:r>
          </w:p>
        </w:tc>
        <w:tc>
          <w:tcPr>
            <w:tcW w:w="0" w:type="auto"/>
            <w:tcBorders>
              <w:top w:val="single" w:sz="4" w:space="0" w:color="auto"/>
              <w:bottom w:val="single" w:sz="4" w:space="0" w:color="auto"/>
            </w:tcBorders>
            <w:hideMark/>
          </w:tcPr>
          <w:p w14:paraId="33B1A0CB" w14:textId="77777777" w:rsidR="004F5547" w:rsidRPr="004F5547" w:rsidRDefault="004F5547" w:rsidP="004F5547">
            <w:pPr>
              <w:spacing w:before="0" w:after="0"/>
              <w:rPr>
                <w:b/>
                <w:color w:val="auto"/>
                <w:sz w:val="20"/>
                <w:szCs w:val="20"/>
              </w:rPr>
            </w:pPr>
            <w:r w:rsidRPr="004F5547">
              <w:rPr>
                <w:bCs/>
                <w:color w:val="auto"/>
                <w:sz w:val="20"/>
                <w:szCs w:val="20"/>
              </w:rPr>
              <w:t>P (Time)</w:t>
            </w:r>
          </w:p>
        </w:tc>
      </w:tr>
      <w:tr w:rsidR="004F5547" w:rsidRPr="004F5547" w14:paraId="1FA97A39" w14:textId="77777777" w:rsidTr="004F5547">
        <w:tc>
          <w:tcPr>
            <w:tcW w:w="0" w:type="auto"/>
            <w:hideMark/>
          </w:tcPr>
          <w:p w14:paraId="7E400DB7" w14:textId="77777777" w:rsidR="004F5547" w:rsidRPr="004F5547" w:rsidRDefault="004F5547" w:rsidP="004F5547">
            <w:pPr>
              <w:spacing w:before="0" w:after="0"/>
              <w:jc w:val="left"/>
              <w:rPr>
                <w:b/>
                <w:color w:val="auto"/>
                <w:sz w:val="20"/>
                <w:szCs w:val="20"/>
              </w:rPr>
            </w:pPr>
            <w:r w:rsidRPr="004F5547">
              <w:rPr>
                <w:bCs/>
                <w:color w:val="auto"/>
                <w:sz w:val="20"/>
                <w:szCs w:val="20"/>
              </w:rPr>
              <w:t xml:space="preserve">Empowerment </w:t>
            </w:r>
          </w:p>
        </w:tc>
        <w:tc>
          <w:tcPr>
            <w:tcW w:w="0" w:type="auto"/>
            <w:tcBorders>
              <w:top w:val="single" w:sz="4" w:space="0" w:color="auto"/>
            </w:tcBorders>
            <w:vAlign w:val="center"/>
            <w:hideMark/>
          </w:tcPr>
          <w:p w14:paraId="7A5B1BA4" w14:textId="77777777" w:rsidR="004F5547" w:rsidRPr="004F5547" w:rsidRDefault="004F5547" w:rsidP="004F5547">
            <w:pPr>
              <w:spacing w:before="0" w:after="0"/>
              <w:rPr>
                <w:b/>
                <w:color w:val="auto"/>
                <w:sz w:val="20"/>
                <w:szCs w:val="20"/>
              </w:rPr>
            </w:pPr>
            <w:r w:rsidRPr="004F5547">
              <w:rPr>
                <w:color w:val="auto"/>
                <w:sz w:val="20"/>
                <w:szCs w:val="20"/>
              </w:rPr>
              <w:t>33.08 ± 10.84</w:t>
            </w:r>
          </w:p>
        </w:tc>
        <w:tc>
          <w:tcPr>
            <w:tcW w:w="0" w:type="auto"/>
            <w:tcBorders>
              <w:top w:val="single" w:sz="4" w:space="0" w:color="auto"/>
            </w:tcBorders>
            <w:vAlign w:val="center"/>
            <w:hideMark/>
          </w:tcPr>
          <w:p w14:paraId="14404DA7" w14:textId="77777777" w:rsidR="004F5547" w:rsidRPr="004F5547" w:rsidRDefault="004F5547" w:rsidP="004F5547">
            <w:pPr>
              <w:spacing w:before="0" w:after="0"/>
              <w:rPr>
                <w:b/>
                <w:color w:val="auto"/>
                <w:sz w:val="20"/>
                <w:szCs w:val="20"/>
              </w:rPr>
            </w:pPr>
            <w:r w:rsidRPr="004F5547">
              <w:rPr>
                <w:color w:val="auto"/>
                <w:sz w:val="20"/>
                <w:szCs w:val="20"/>
              </w:rPr>
              <w:t>28.64 ± 10.12</w:t>
            </w:r>
          </w:p>
        </w:tc>
        <w:tc>
          <w:tcPr>
            <w:tcW w:w="0" w:type="auto"/>
            <w:tcBorders>
              <w:top w:val="single" w:sz="4" w:space="0" w:color="auto"/>
            </w:tcBorders>
            <w:vAlign w:val="center"/>
            <w:hideMark/>
          </w:tcPr>
          <w:p w14:paraId="01EFC8E1" w14:textId="77777777" w:rsidR="004F5547" w:rsidRPr="004F5547" w:rsidRDefault="004F5547" w:rsidP="004F5547">
            <w:pPr>
              <w:spacing w:before="0" w:after="0"/>
              <w:rPr>
                <w:b/>
                <w:color w:val="auto"/>
                <w:sz w:val="20"/>
                <w:szCs w:val="20"/>
              </w:rPr>
            </w:pPr>
            <w:r w:rsidRPr="004F5547">
              <w:rPr>
                <w:color w:val="auto"/>
                <w:sz w:val="20"/>
                <w:szCs w:val="20"/>
              </w:rPr>
              <w:t>26.42 ± 9.86</w:t>
            </w:r>
          </w:p>
        </w:tc>
        <w:tc>
          <w:tcPr>
            <w:tcW w:w="0" w:type="auto"/>
            <w:tcBorders>
              <w:top w:val="single" w:sz="4" w:space="0" w:color="auto"/>
            </w:tcBorders>
            <w:hideMark/>
          </w:tcPr>
          <w:p w14:paraId="66F9FE9B" w14:textId="77777777" w:rsidR="004F5547" w:rsidRPr="004F5547" w:rsidRDefault="004F5547" w:rsidP="004F5547">
            <w:pPr>
              <w:spacing w:before="0" w:after="0"/>
              <w:jc w:val="left"/>
              <w:rPr>
                <w:b/>
                <w:color w:val="auto"/>
                <w:sz w:val="20"/>
                <w:szCs w:val="20"/>
              </w:rPr>
            </w:pPr>
            <w:r w:rsidRPr="004F5547">
              <w:rPr>
                <w:color w:val="auto"/>
                <w:sz w:val="20"/>
                <w:szCs w:val="20"/>
              </w:rPr>
              <w:t>&lt;0.001</w:t>
            </w:r>
          </w:p>
        </w:tc>
      </w:tr>
      <w:tr w:rsidR="004F5547" w:rsidRPr="004F5547" w14:paraId="13AD3458" w14:textId="77777777" w:rsidTr="004F5547">
        <w:tc>
          <w:tcPr>
            <w:tcW w:w="0" w:type="auto"/>
            <w:hideMark/>
          </w:tcPr>
          <w:p w14:paraId="43C29521" w14:textId="77777777" w:rsidR="004F5547" w:rsidRPr="004F5547" w:rsidRDefault="004F5547" w:rsidP="004F5547">
            <w:pPr>
              <w:spacing w:before="0" w:after="0"/>
              <w:jc w:val="left"/>
              <w:rPr>
                <w:b/>
                <w:color w:val="auto"/>
                <w:sz w:val="20"/>
                <w:szCs w:val="20"/>
              </w:rPr>
            </w:pPr>
            <w:r w:rsidRPr="004F5547">
              <w:rPr>
                <w:bCs/>
                <w:color w:val="auto"/>
                <w:sz w:val="20"/>
                <w:szCs w:val="20"/>
              </w:rPr>
              <w:t xml:space="preserve">Self-efficacy </w:t>
            </w:r>
          </w:p>
        </w:tc>
        <w:tc>
          <w:tcPr>
            <w:tcW w:w="0" w:type="auto"/>
            <w:vAlign w:val="center"/>
            <w:hideMark/>
          </w:tcPr>
          <w:p w14:paraId="1ADFE437" w14:textId="77777777" w:rsidR="004F5547" w:rsidRPr="004F5547" w:rsidRDefault="004F5547" w:rsidP="004F5547">
            <w:pPr>
              <w:spacing w:before="0" w:after="0"/>
              <w:rPr>
                <w:b/>
                <w:color w:val="auto"/>
                <w:sz w:val="20"/>
                <w:szCs w:val="20"/>
              </w:rPr>
            </w:pPr>
            <w:r w:rsidRPr="004F5547">
              <w:rPr>
                <w:color w:val="auto"/>
                <w:sz w:val="20"/>
                <w:szCs w:val="20"/>
              </w:rPr>
              <w:t>32.45 ± 11.26</w:t>
            </w:r>
          </w:p>
        </w:tc>
        <w:tc>
          <w:tcPr>
            <w:tcW w:w="0" w:type="auto"/>
            <w:vAlign w:val="center"/>
            <w:hideMark/>
          </w:tcPr>
          <w:p w14:paraId="1A42C190" w14:textId="77777777" w:rsidR="004F5547" w:rsidRPr="004F5547" w:rsidRDefault="004F5547" w:rsidP="004F5547">
            <w:pPr>
              <w:spacing w:before="0" w:after="0"/>
              <w:rPr>
                <w:b/>
                <w:color w:val="auto"/>
                <w:sz w:val="20"/>
                <w:szCs w:val="20"/>
              </w:rPr>
            </w:pPr>
            <w:r w:rsidRPr="004F5547">
              <w:rPr>
                <w:color w:val="auto"/>
                <w:sz w:val="20"/>
                <w:szCs w:val="20"/>
              </w:rPr>
              <w:t>28.73 ± 10.41</w:t>
            </w:r>
          </w:p>
        </w:tc>
        <w:tc>
          <w:tcPr>
            <w:tcW w:w="0" w:type="auto"/>
            <w:vAlign w:val="center"/>
            <w:hideMark/>
          </w:tcPr>
          <w:p w14:paraId="0E0871E7" w14:textId="77777777" w:rsidR="004F5547" w:rsidRPr="004F5547" w:rsidRDefault="004F5547" w:rsidP="004F5547">
            <w:pPr>
              <w:spacing w:before="0" w:after="0"/>
              <w:rPr>
                <w:b/>
                <w:color w:val="auto"/>
                <w:sz w:val="20"/>
                <w:szCs w:val="20"/>
              </w:rPr>
            </w:pPr>
            <w:r w:rsidRPr="004F5547">
              <w:rPr>
                <w:color w:val="auto"/>
                <w:sz w:val="20"/>
                <w:szCs w:val="20"/>
              </w:rPr>
              <w:t>27.05 ± 10.33</w:t>
            </w:r>
          </w:p>
        </w:tc>
        <w:tc>
          <w:tcPr>
            <w:tcW w:w="0" w:type="auto"/>
            <w:hideMark/>
          </w:tcPr>
          <w:p w14:paraId="7506746B" w14:textId="77777777" w:rsidR="004F5547" w:rsidRPr="004F5547" w:rsidRDefault="004F5547" w:rsidP="004F5547">
            <w:pPr>
              <w:spacing w:before="0" w:after="0"/>
              <w:jc w:val="left"/>
              <w:rPr>
                <w:b/>
                <w:color w:val="auto"/>
                <w:sz w:val="20"/>
                <w:szCs w:val="20"/>
              </w:rPr>
            </w:pPr>
            <w:r w:rsidRPr="004F5547">
              <w:rPr>
                <w:color w:val="auto"/>
                <w:sz w:val="20"/>
                <w:szCs w:val="20"/>
              </w:rPr>
              <w:t>&lt;0.001</w:t>
            </w:r>
          </w:p>
        </w:tc>
      </w:tr>
      <w:tr w:rsidR="004F5547" w:rsidRPr="004F5547" w14:paraId="72F6B860" w14:textId="77777777" w:rsidTr="004F5547">
        <w:tc>
          <w:tcPr>
            <w:tcW w:w="0" w:type="auto"/>
            <w:tcBorders>
              <w:bottom w:val="single" w:sz="4" w:space="0" w:color="auto"/>
            </w:tcBorders>
            <w:hideMark/>
          </w:tcPr>
          <w:p w14:paraId="76BDD707" w14:textId="77777777" w:rsidR="004F5547" w:rsidRPr="004F5547" w:rsidRDefault="004F5547" w:rsidP="004F5547">
            <w:pPr>
              <w:spacing w:before="0" w:after="0"/>
              <w:jc w:val="left"/>
              <w:rPr>
                <w:b/>
                <w:color w:val="auto"/>
                <w:sz w:val="20"/>
                <w:szCs w:val="20"/>
              </w:rPr>
            </w:pPr>
            <w:r w:rsidRPr="004F5547">
              <w:rPr>
                <w:bCs/>
                <w:color w:val="auto"/>
                <w:sz w:val="20"/>
                <w:szCs w:val="20"/>
              </w:rPr>
              <w:t xml:space="preserve">Integrated </w:t>
            </w:r>
          </w:p>
        </w:tc>
        <w:tc>
          <w:tcPr>
            <w:tcW w:w="0" w:type="auto"/>
            <w:tcBorders>
              <w:bottom w:val="single" w:sz="4" w:space="0" w:color="auto"/>
            </w:tcBorders>
            <w:vAlign w:val="center"/>
            <w:hideMark/>
          </w:tcPr>
          <w:p w14:paraId="6BEF172F" w14:textId="77777777" w:rsidR="004F5547" w:rsidRPr="004F5547" w:rsidRDefault="004F5547" w:rsidP="004F5547">
            <w:pPr>
              <w:spacing w:before="0" w:after="0"/>
              <w:rPr>
                <w:b/>
                <w:color w:val="auto"/>
                <w:sz w:val="20"/>
                <w:szCs w:val="20"/>
              </w:rPr>
            </w:pPr>
            <w:r w:rsidRPr="004F5547">
              <w:rPr>
                <w:color w:val="auto"/>
                <w:sz w:val="20"/>
                <w:szCs w:val="20"/>
              </w:rPr>
              <w:t>33.91 ± 11.38</w:t>
            </w:r>
          </w:p>
        </w:tc>
        <w:tc>
          <w:tcPr>
            <w:tcW w:w="0" w:type="auto"/>
            <w:tcBorders>
              <w:bottom w:val="single" w:sz="4" w:space="0" w:color="auto"/>
            </w:tcBorders>
            <w:vAlign w:val="center"/>
            <w:hideMark/>
          </w:tcPr>
          <w:p w14:paraId="4E5958CA" w14:textId="77777777" w:rsidR="004F5547" w:rsidRPr="004F5547" w:rsidRDefault="004F5547" w:rsidP="004F5547">
            <w:pPr>
              <w:spacing w:before="0" w:after="0"/>
              <w:rPr>
                <w:b/>
                <w:color w:val="auto"/>
                <w:sz w:val="20"/>
                <w:szCs w:val="20"/>
              </w:rPr>
            </w:pPr>
            <w:r w:rsidRPr="004F5547">
              <w:rPr>
                <w:color w:val="auto"/>
                <w:sz w:val="20"/>
                <w:szCs w:val="20"/>
              </w:rPr>
              <w:t>28.42 ± 10.78</w:t>
            </w:r>
          </w:p>
        </w:tc>
        <w:tc>
          <w:tcPr>
            <w:tcW w:w="0" w:type="auto"/>
            <w:tcBorders>
              <w:bottom w:val="single" w:sz="4" w:space="0" w:color="auto"/>
            </w:tcBorders>
            <w:vAlign w:val="center"/>
            <w:hideMark/>
          </w:tcPr>
          <w:p w14:paraId="54B01AD1" w14:textId="77777777" w:rsidR="004F5547" w:rsidRPr="004F5547" w:rsidRDefault="004F5547" w:rsidP="004F5547">
            <w:pPr>
              <w:spacing w:before="0" w:after="0"/>
              <w:rPr>
                <w:b/>
                <w:color w:val="auto"/>
                <w:sz w:val="20"/>
                <w:szCs w:val="20"/>
              </w:rPr>
            </w:pPr>
            <w:r w:rsidRPr="004F5547">
              <w:rPr>
                <w:color w:val="auto"/>
                <w:sz w:val="20"/>
                <w:szCs w:val="20"/>
              </w:rPr>
              <w:t>27.68 ± 10.02</w:t>
            </w:r>
          </w:p>
        </w:tc>
        <w:tc>
          <w:tcPr>
            <w:tcW w:w="0" w:type="auto"/>
            <w:tcBorders>
              <w:bottom w:val="single" w:sz="4" w:space="0" w:color="auto"/>
            </w:tcBorders>
            <w:hideMark/>
          </w:tcPr>
          <w:p w14:paraId="0301B12D" w14:textId="77777777" w:rsidR="004F5547" w:rsidRPr="004F5547" w:rsidRDefault="004F5547" w:rsidP="004F5547">
            <w:pPr>
              <w:spacing w:before="0" w:after="0"/>
              <w:jc w:val="left"/>
              <w:rPr>
                <w:b/>
                <w:color w:val="auto"/>
                <w:sz w:val="20"/>
                <w:szCs w:val="20"/>
              </w:rPr>
            </w:pPr>
            <w:r w:rsidRPr="004F5547">
              <w:rPr>
                <w:color w:val="auto"/>
                <w:sz w:val="20"/>
                <w:szCs w:val="20"/>
              </w:rPr>
              <w:t>&lt;0.001</w:t>
            </w:r>
          </w:p>
        </w:tc>
      </w:tr>
    </w:tbl>
    <w:p w14:paraId="7E0C4172" w14:textId="77777777" w:rsidR="004F5547" w:rsidRPr="004F5547" w:rsidRDefault="004F5547" w:rsidP="004F5547">
      <w:pPr>
        <w:pBdr>
          <w:top w:val="nil"/>
          <w:left w:val="nil"/>
          <w:bottom w:val="nil"/>
          <w:right w:val="nil"/>
          <w:between w:val="nil"/>
        </w:pBdr>
        <w:spacing w:before="0" w:after="0"/>
        <w:jc w:val="both"/>
        <w:rPr>
          <w:rFonts w:eastAsia="Times New Roman" w:cs="Times New Roman"/>
          <w:b w:val="0"/>
          <w:bCs/>
          <w:color w:val="000000"/>
          <w:sz w:val="16"/>
          <w:szCs w:val="16"/>
          <w:lang w:val="en-AU" w:eastAsia="en-ID"/>
        </w:rPr>
      </w:pPr>
      <w:r w:rsidRPr="004F5547">
        <w:rPr>
          <w:rFonts w:eastAsia="Times New Roman" w:cs="Times New Roman"/>
          <w:b w:val="0"/>
          <w:bCs/>
          <w:color w:val="000000"/>
          <w:sz w:val="16"/>
          <w:szCs w:val="16"/>
          <w:lang w:val="en-AU" w:eastAsia="en-ID"/>
        </w:rPr>
        <w:t>*</w:t>
      </w:r>
      <w:r w:rsidRPr="004F5547">
        <w:rPr>
          <w:rFonts w:eastAsia="Times New Roman" w:cs="Times New Roman"/>
          <w:b w:val="0"/>
          <w:szCs w:val="28"/>
          <w:lang w:val="en-AU" w:eastAsia="en-ID"/>
        </w:rPr>
        <w:t xml:space="preserve"> </w:t>
      </w:r>
      <w:r w:rsidRPr="004F5547">
        <w:rPr>
          <w:rFonts w:eastAsia="Times New Roman" w:cs="Times New Roman"/>
          <w:b w:val="0"/>
          <w:color w:val="000000"/>
          <w:sz w:val="16"/>
          <w:szCs w:val="16"/>
          <w:lang w:val="en-AU" w:eastAsia="en-ID"/>
        </w:rPr>
        <w:t>Repeated Measures ANOVA was employed to evaluate variations in MENQOL scores over the three time points</w:t>
      </w:r>
    </w:p>
    <w:p w14:paraId="0D9C3A96" w14:textId="37753A9C" w:rsidR="004F5547" w:rsidRPr="004F5547" w:rsidRDefault="004F5547" w:rsidP="004F5547">
      <w:pPr>
        <w:pStyle w:val="9Paragraph0"/>
      </w:pPr>
      <w:r w:rsidRPr="004F5547">
        <w:lastRenderedPageBreak/>
        <w:t>As shown in Table 4, mean Menopause-Specific Quality of Life (MENQOL) scores decreased across all intervention groups following participation in the self-care education program. Significant reductions in MENQOL scores were observed from Time 1 to Time 3 in all three groups (p &lt; 0.001), indicating overall improvements in quality of life among women with early menopause. Although no statistically significant differences were detected between intervention groups (p &gt; 0.05), the main effect of time demonstrated a meaningful improvement in quality of life across all groups.</w:t>
      </w:r>
    </w:p>
    <w:p w14:paraId="3B58DBD4" w14:textId="77777777" w:rsidR="000863AE" w:rsidRPr="008A2ABA" w:rsidRDefault="000863AE" w:rsidP="001B4FA6">
      <w:pPr>
        <w:pStyle w:val="Heading5"/>
        <w:rPr>
          <w:noProof/>
          <w:lang w:val="en-AU"/>
        </w:rPr>
      </w:pPr>
      <w:r w:rsidRPr="000863AE">
        <w:t>DISCUSSION</w:t>
      </w:r>
    </w:p>
    <w:p w14:paraId="0D690B9F" w14:textId="77777777" w:rsidR="00452035" w:rsidRPr="00452035" w:rsidRDefault="00452035" w:rsidP="00452035">
      <w:pPr>
        <w:pStyle w:val="9Paragraph0"/>
      </w:pPr>
      <w:r w:rsidRPr="00452035">
        <w:t>The sociodemographic profile of the participants indicated that most women were aged between 42 and 46 years, with a mean duration of menopause of approximately 15–16 months, reflecting the early transitional phase of early menopause. Baseline homogeneity testing (Table 3) confirmed that most sociodemographic variables were comparable across the three intervention groups, including age (p = 0.41), duration of menopause (p = 0.59), number of pregnancies (p = 0.47), occupation (p = 0.48), and marital status (p = 0.73). These findings suggest that the groups were comparable at baseline and suitable for evaluating the effects of the interventions.</w:t>
      </w:r>
    </w:p>
    <w:p w14:paraId="11EF9A65" w14:textId="77777777" w:rsidR="00452035" w:rsidRPr="00452035" w:rsidRDefault="00452035" w:rsidP="00452035">
      <w:pPr>
        <w:pStyle w:val="9Paragraph0"/>
      </w:pPr>
      <w:r w:rsidRPr="00452035">
        <w:t>In accordance with the revised Methods section, outcome measurements were conducted at three time points: prior to the intervention (Time 1), one month after the intervention (Time 2), and three months after the intervention (Time 3), ensuring consistency between the Methods and Results sections. Significant baseline differences were observed in education level (p = 0.03) and number of family members (p = 0.04). Theoretically, these variables may influence quality of life through pathways related to health literacy, domestic workload, and social support. Similar observations were reported by Nardina et al. (2025), who identified education level and family support as key determinants of successful health interventions among menopausal women.</w:t>
      </w:r>
      <w:r w:rsidRPr="00452035">
        <w:rPr>
          <w:vertAlign w:val="superscript"/>
        </w:rPr>
        <w:t>24,25</w:t>
      </w:r>
      <w:r w:rsidRPr="00452035">
        <w:t xml:space="preserve"> However, repeated-measures ANOVA revealed no significant interaction effects between intervention group and either education level or family size on changes in MENQOL scores (p &gt; 0.05), indicating that these baseline differences did not introduce meaningful bias into the study outcomes.</w:t>
      </w:r>
    </w:p>
    <w:p w14:paraId="3002E10B" w14:textId="77777777" w:rsidR="00452035" w:rsidRPr="00452035" w:rsidRDefault="00452035" w:rsidP="00452035">
      <w:pPr>
        <w:pStyle w:val="9Paragraph0"/>
      </w:pPr>
      <w:r w:rsidRPr="00452035">
        <w:t>Overall, the results indicate that all three intervention approaches were associated with improvements in both physical and psychological well-being among women with early menopause. The significant reductions in MENQOL scores reflect improvements in vasomotor symptoms, emotional well-being, and social and spiritual functioning.</w:t>
      </w:r>
      <w:r w:rsidRPr="00452035">
        <w:rPr>
          <w:vertAlign w:val="superscript"/>
        </w:rPr>
        <w:t>26</w:t>
      </w:r>
    </w:p>
    <w:p w14:paraId="7980405B" w14:textId="77777777" w:rsidR="00452035" w:rsidRPr="00452035" w:rsidRDefault="00452035" w:rsidP="00452035">
      <w:pPr>
        <w:pStyle w:val="9Paragraph0"/>
      </w:pPr>
      <w:r w:rsidRPr="00452035">
        <w:t xml:space="preserve">The primary findings demonstrated that MENQOL scores decreased significantly from Time 1 to Time 2 and Time 3 in all intervention groups (p &lt; 0.001). Quantitatively, the empowerment group exhibited a reduction in mean MENQOL scores from 33.08 ± 10.84 at baseline to 26.42 ± 9.86 at Time 3, representing an approximate 20.1% reduction. The self-efficacy group showed a decrease from 32.45 ± 11.26 to 27.05 ± 10.33 (approximately 16.6%), while the integrated group demonstrated </w:t>
      </w:r>
      <w:r w:rsidRPr="00452035">
        <w:lastRenderedPageBreak/>
        <w:t>a reduction from 33.91 ± 11.38 to 27.68 ± 10.02 (approximately 18.4%). These reductions indicate statistically and clinically meaningful improvements in quality of life following the three-month intervention period.</w:t>
      </w:r>
    </w:p>
    <w:p w14:paraId="4831C956" w14:textId="77777777" w:rsidR="00452035" w:rsidRPr="00452035" w:rsidRDefault="00452035" w:rsidP="00452035">
      <w:pPr>
        <w:pStyle w:val="9Paragraph0"/>
      </w:pPr>
      <w:r w:rsidRPr="00452035">
        <w:t>These findings are consistent with those reported by Wen et al. (2024), who demonstrated that self-efficacy–based interventions reduced anxiety and depressive symptoms while enhancing confidence in managing physical changes among menopausal women.</w:t>
      </w:r>
      <w:r w:rsidRPr="00452035">
        <w:rPr>
          <w:vertAlign w:val="superscript"/>
        </w:rPr>
        <w:t>6</w:t>
      </w:r>
      <w:r w:rsidRPr="00452035">
        <w:t xml:space="preserve"> Similarly, Liu et al. (2023) found that higher self-efficacy levels were strongly associated with improved self-care behaviors and greater adherence to healthy lifestyle practices.</w:t>
      </w:r>
      <w:r w:rsidRPr="00452035">
        <w:rPr>
          <w:vertAlign w:val="superscript"/>
        </w:rPr>
        <w:t>27</w:t>
      </w:r>
      <w:r w:rsidRPr="00452035">
        <w:t xml:space="preserve"> According to Bandura’s theory, individuals with higher self-efficacy are better able to cope with physiological and emotional challenges, develop adaptive coping strategies, and maintain psychological balance.</w:t>
      </w:r>
      <w:r w:rsidRPr="00452035">
        <w:rPr>
          <w:vertAlign w:val="superscript"/>
        </w:rPr>
        <w:t>28,29</w:t>
      </w:r>
      <w:r w:rsidRPr="00452035">
        <w:t xml:space="preserve"> Accordingly, strengthening self-efficacy appears to play a central role in improving quality of life among women with early menopause by enhancing adaptive capacity.</w:t>
      </w:r>
    </w:p>
    <w:p w14:paraId="3905BFD6" w14:textId="77777777" w:rsidR="00452035" w:rsidRPr="00452035" w:rsidRDefault="00452035" w:rsidP="00452035">
      <w:pPr>
        <w:pStyle w:val="9Paragraph0"/>
      </w:pPr>
      <w:r w:rsidRPr="00452035">
        <w:t>In addition to self-efficacy, empowerment-based education was associated with improvements in quality of life through increased health awareness, decision-making capacity, and perceived bodily control.</w:t>
      </w:r>
      <w:r w:rsidRPr="00452035">
        <w:rPr>
          <w:vertAlign w:val="superscript"/>
        </w:rPr>
        <w:t>30</w:t>
      </w:r>
      <w:r w:rsidRPr="00452035">
        <w:t xml:space="preserve"> This finding aligns with Schultz et al. (2022), who reported that social empowerment interventions enhanced menopausal women’s ability to manage vasomotor symptoms and strengthened perceived self-control.</w:t>
      </w:r>
      <w:r w:rsidRPr="00452035">
        <w:rPr>
          <w:vertAlign w:val="superscript"/>
        </w:rPr>
        <w:t>26</w:t>
      </w:r>
      <w:r w:rsidRPr="00452035">
        <w:t xml:space="preserve"> These outcomes are consistent with Sarah Longwe’s empowerment framework, which emphasizes equity, access, awareness, participation, and control as core dimensions of women’s reproductive health capacity.</w:t>
      </w:r>
      <w:r w:rsidRPr="00452035">
        <w:rPr>
          <w:vertAlign w:val="superscript"/>
        </w:rPr>
        <w:t>11</w:t>
      </w:r>
      <w:r w:rsidRPr="00452035">
        <w:t xml:space="preserve"> The integrated approach combining empowerment and self-efficacy also produced beneficial outcomes comparable to those of the single-theory interventions. Although no statistically significant between-group differences were observed, the consistent reduction in MENQOL scores suggests a synergistic contribution of psychological and social components.</w:t>
      </w:r>
      <w:r w:rsidRPr="00452035">
        <w:rPr>
          <w:vertAlign w:val="superscript"/>
        </w:rPr>
        <w:t>31</w:t>
      </w:r>
      <w:r w:rsidRPr="00452035">
        <w:t xml:space="preserve"> This interpretation is supported by Hasanpour et al. (2023), who demonstrated that integrated empowerment and self-efficacy approaches enhance internal motivation and proactive health behaviors among menopausal women.</w:t>
      </w:r>
      <w:r w:rsidRPr="00452035">
        <w:rPr>
          <w:vertAlign w:val="superscript"/>
        </w:rPr>
        <w:t>32</w:t>
      </w:r>
    </w:p>
    <w:p w14:paraId="2C9D352F" w14:textId="77777777" w:rsidR="00452035" w:rsidRPr="00452035" w:rsidRDefault="00452035" w:rsidP="00452035">
      <w:pPr>
        <w:pStyle w:val="9Paragraph0"/>
      </w:pPr>
      <w:r w:rsidRPr="00452035">
        <w:t>The absence of significant between-group differences may be explained by the relative homogeneity of baseline characteristics and the provision of standardized self-care education across all intervention groups. Similar findings were reported by Kafaei-Atrian et al. (2022), who showed that participatory health education alone can improve menopausal well-being in community-based group settings.</w:t>
      </w:r>
      <w:r w:rsidRPr="00452035">
        <w:rPr>
          <w:vertAlign w:val="superscript"/>
        </w:rPr>
        <w:t>17</w:t>
      </w:r>
      <w:r w:rsidRPr="00452035">
        <w:t xml:space="preserve"> Furthermore, the sociocultural context of Boyolali, characterized by strong values of </w:t>
      </w:r>
      <w:r w:rsidRPr="00452035">
        <w:rPr>
          <w:i/>
          <w:iCs/>
        </w:rPr>
        <w:t>gotong royong</w:t>
      </w:r>
      <w:r w:rsidRPr="00452035">
        <w:t xml:space="preserve"> and extended family support, may have facilitated health behavior change across all groups. Consistent with this interpretation, Rachmawati et al. (2022) reported a positive association between social support and adherence to healthy lifestyle behaviors among menopausal women in rural Central Java.</w:t>
      </w:r>
      <w:r w:rsidRPr="00452035">
        <w:rPr>
          <w:vertAlign w:val="superscript"/>
        </w:rPr>
        <w:t>34</w:t>
      </w:r>
    </w:p>
    <w:p w14:paraId="260E07A5" w14:textId="77777777" w:rsidR="00452035" w:rsidRPr="00452035" w:rsidRDefault="00452035" w:rsidP="00452035">
      <w:pPr>
        <w:pStyle w:val="9Paragraph0"/>
      </w:pPr>
      <w:r w:rsidRPr="00452035">
        <w:lastRenderedPageBreak/>
        <w:t>From a translational perspective, these findings support the integration of empowerment- and self-efficacy–based education into community midwifery services as low-cost, sustainable, non-pharmacological strategies for improving women’s health.</w:t>
      </w:r>
      <w:r w:rsidRPr="00452035">
        <w:rPr>
          <w:vertAlign w:val="superscript"/>
        </w:rPr>
        <w:t>35</w:t>
      </w:r>
      <w:r w:rsidRPr="00452035">
        <w:t xml:space="preserve"> This approach is consistent with World Health Organization (WHO, 2023) recommendations emphasizing women’s empowerment and psychological capacity building during the reproductive transition.</w:t>
      </w:r>
      <w:r w:rsidRPr="00452035">
        <w:rPr>
          <w:vertAlign w:val="superscript"/>
        </w:rPr>
        <w:t>36</w:t>
      </w:r>
    </w:p>
    <w:p w14:paraId="5AF61F18" w14:textId="034807EE" w:rsidR="000863AE" w:rsidRPr="00350E27" w:rsidRDefault="00452035" w:rsidP="00452035">
      <w:pPr>
        <w:pStyle w:val="9Paragraph0"/>
      </w:pPr>
      <w:r w:rsidRPr="00452035">
        <w:rPr>
          <w:lang w:eastAsia="en-US"/>
        </w:rPr>
        <w:t>Nevertheless, this study has several limitations. The follow-up period was limited to three months, reliance on self-reported measures may have introduced reporting bias, and the single-region study setting may limit generalizability. Future research should employ longitudinal and mixed-methods designs to more comprehensively explore psychosocial and cultural mechanisms underlying self-care interventions among women with early menopause</w:t>
      </w:r>
      <w:r w:rsidR="000863AE" w:rsidRPr="000332AE">
        <w:t>.</w:t>
      </w:r>
    </w:p>
    <w:p w14:paraId="2F13B5B6" w14:textId="77777777" w:rsidR="000863AE" w:rsidRPr="000332AE" w:rsidRDefault="000863AE" w:rsidP="001B4FA6">
      <w:pPr>
        <w:pStyle w:val="Heading5"/>
        <w:rPr>
          <w:lang w:val="en-AU"/>
        </w:rPr>
      </w:pPr>
      <w:r w:rsidRPr="000332AE">
        <w:rPr>
          <w:lang w:val="en-AU"/>
        </w:rPr>
        <w:t>CONCLUSION</w:t>
      </w:r>
    </w:p>
    <w:p w14:paraId="769680EE" w14:textId="67781D6A" w:rsidR="000863AE" w:rsidRDefault="00452035" w:rsidP="002740E1">
      <w:pPr>
        <w:pStyle w:val="9Paragraph0"/>
      </w:pPr>
      <w:r w:rsidRPr="00452035">
        <w:t>This study demonstrates that self-care education grounded in self-efficacy, empowerment, and their integration produces beneficial effects on the quality of life of women with early menopause, particularly with respect to physical and psychological adaptation. No significant differences were observed between intervention groups, suggesting that each approach is effective in improving quality of life during the early menopausal transition. These findings underscore the importance of strengthening self-efficacy and women’s empowerment as key components of promotive strategies for reproductive health services. Practically, psychosocially oriented self-care education represents a feasible and contextually relevant approach that can be integrated into routine menopausal counseling, women’s health education programs, and community outreach activities delivered by midwives and health cadres within primary healthcare (puskesmas) settings</w:t>
      </w:r>
      <w:r w:rsidR="000863AE" w:rsidRPr="00C52217">
        <w:t>.</w:t>
      </w:r>
    </w:p>
    <w:p w14:paraId="06DD1FCD" w14:textId="77777777" w:rsidR="000863AE" w:rsidRPr="000332AE" w:rsidRDefault="000863AE" w:rsidP="001B4FA6">
      <w:pPr>
        <w:pStyle w:val="Heading5"/>
        <w:rPr>
          <w:lang w:val="en-AU"/>
        </w:rPr>
      </w:pPr>
      <w:r w:rsidRPr="000332AE">
        <w:rPr>
          <w:lang w:val="en-AU"/>
        </w:rPr>
        <w:t>RECOMMENDATION</w:t>
      </w:r>
    </w:p>
    <w:p w14:paraId="6C19C054" w14:textId="6AD14071" w:rsidR="000863AE" w:rsidRDefault="00452035" w:rsidP="002740E1">
      <w:pPr>
        <w:pStyle w:val="9Paragraph0"/>
      </w:pPr>
      <w:r w:rsidRPr="00E46BB9">
        <w:rPr>
          <w:bCs/>
          <w:lang w:val="en-US" w:eastAsia="en-US"/>
        </w:rPr>
        <w:t>Future studies should develop and evaluate self-care interventions grounded in self-efficacy and empowerment using longitudinal designs to assess long-term effects on quality of life among women with early menopause. Mixed-methods approaches are recommended to capture sociocultural, familial, and environmental influences on intervention effectiveness. At the policy level, these findings support the incorporation of structured, community-based self-care education into national reproductive health and primary care programs, with midwives and health cadres serving as key implementers of sustainable promotive and preventive services across diverse regional contexts</w:t>
      </w:r>
      <w:r w:rsidR="000863AE" w:rsidRPr="00C52217">
        <w:t>.</w:t>
      </w:r>
    </w:p>
    <w:p w14:paraId="018C9985" w14:textId="6804BE3A" w:rsidR="00504C82" w:rsidRPr="001879B6" w:rsidRDefault="00504C82" w:rsidP="001B4FA6">
      <w:pPr>
        <w:pStyle w:val="Heading5"/>
        <w:rPr>
          <w:color w:val="FF0000"/>
        </w:rPr>
      </w:pPr>
      <w:r w:rsidRPr="00504C82">
        <w:t>Acknowledgement</w:t>
      </w:r>
    </w:p>
    <w:p w14:paraId="175714EA" w14:textId="46570003" w:rsidR="0045275C" w:rsidRPr="000863AE" w:rsidRDefault="00452035" w:rsidP="002740E1">
      <w:pPr>
        <w:pStyle w:val="9Paragraph0"/>
      </w:pPr>
      <w:r w:rsidRPr="00E46BB9">
        <w:rPr>
          <w:bCs/>
          <w:lang w:val="en-US" w:eastAsia="en-US"/>
        </w:rPr>
        <w:t xml:space="preserve">The authors sincerely thank all participants and healthcare personnel involved in this study, as well as the village health cadres and </w:t>
      </w:r>
      <w:r w:rsidRPr="00E46BB9">
        <w:rPr>
          <w:bCs/>
          <w:i/>
          <w:iCs/>
          <w:lang w:val="en-US" w:eastAsia="en-US"/>
        </w:rPr>
        <w:t>puskesmas</w:t>
      </w:r>
      <w:r w:rsidRPr="00E46BB9">
        <w:rPr>
          <w:bCs/>
          <w:lang w:val="en-US" w:eastAsia="en-US"/>
        </w:rPr>
        <w:t xml:space="preserve"> staff who supported the implementation of the intervention activities. The authors also acknowledge the valuable guidance provided by academic </w:t>
      </w:r>
      <w:r w:rsidRPr="00E46BB9">
        <w:rPr>
          <w:bCs/>
          <w:lang w:val="en-US" w:eastAsia="en-US"/>
        </w:rPr>
        <w:lastRenderedPageBreak/>
        <w:t>consultants throughout the research process. This study was financially supported by DRPPM STIKES Estu Utomo through the Internal Research Grant Scheme (</w:t>
      </w:r>
      <w:r w:rsidRPr="00E46BB9">
        <w:rPr>
          <w:bCs/>
          <w:i/>
          <w:iCs/>
          <w:lang w:val="en-US" w:eastAsia="en-US"/>
        </w:rPr>
        <w:t>Hibah Internal</w:t>
      </w:r>
      <w:r w:rsidRPr="00E46BB9">
        <w:rPr>
          <w:bCs/>
          <w:lang w:val="en-US" w:eastAsia="en-US"/>
        </w:rPr>
        <w:t>) for the 2025 fiscal year</w:t>
      </w:r>
      <w:r w:rsidR="000863AE" w:rsidRPr="000332AE">
        <w:t>.</w:t>
      </w:r>
      <w:r w:rsidR="0045275C" w:rsidRPr="00813262">
        <w:rPr>
          <w:lang w:val="sv-SE"/>
        </w:rPr>
        <w:t xml:space="preserve"> </w:t>
      </w:r>
    </w:p>
    <w:p w14:paraId="2287A481" w14:textId="21E3465F" w:rsidR="00504C82" w:rsidRDefault="00504C82" w:rsidP="001B4FA6">
      <w:pPr>
        <w:pStyle w:val="Heading5"/>
        <w:rPr>
          <w:lang w:val="fi-FI"/>
        </w:rPr>
      </w:pPr>
      <w:r w:rsidRPr="000B6095">
        <w:rPr>
          <w:lang w:val="fi-FI"/>
        </w:rPr>
        <w:t>References</w:t>
      </w:r>
    </w:p>
    <w:p w14:paraId="164F6F5D" w14:textId="282F811F" w:rsidR="00452035" w:rsidRPr="00452035" w:rsidRDefault="00452035" w:rsidP="00452035">
      <w:pPr>
        <w:pStyle w:val="References"/>
        <w:rPr>
          <w:szCs w:val="28"/>
          <w:lang w:eastAsia="en-ID"/>
        </w:rPr>
      </w:pPr>
      <w:r w:rsidRPr="00452035">
        <w:rPr>
          <w:lang w:eastAsia="en-ID"/>
        </w:rPr>
        <w:t xml:space="preserve">Kundu S, Acharya SS. Linkage of premature and early menopause with psychosocial well-being: a moderated multiple mediation approach. BMC Psychol. 2023;11. </w:t>
      </w:r>
      <w:r>
        <w:rPr>
          <w:lang w:eastAsia="en-ID"/>
        </w:rPr>
        <w:t xml:space="preserve">Available from: </w:t>
      </w:r>
      <w:hyperlink r:id="rId15" w:history="1">
        <w:r w:rsidRPr="00376149">
          <w:rPr>
            <w:rStyle w:val="Hyperlink"/>
            <w:rFonts w:eastAsiaTheme="majorEastAsia"/>
            <w:lang w:val="en-AU" w:eastAsia="en-ID"/>
          </w:rPr>
          <w:t>https://doi.org/10.1186/s40359-023-01267-3</w:t>
        </w:r>
      </w:hyperlink>
      <w:r w:rsidRPr="00452035">
        <w:rPr>
          <w:lang w:val="en-AU" w:eastAsia="en-ID"/>
        </w:rPr>
        <w:t xml:space="preserve"> </w:t>
      </w:r>
    </w:p>
    <w:p w14:paraId="00700DA5" w14:textId="20CF3F8A" w:rsidR="00452035" w:rsidRPr="00452035" w:rsidRDefault="00452035" w:rsidP="00452035">
      <w:pPr>
        <w:pStyle w:val="References"/>
        <w:rPr>
          <w:lang w:eastAsia="en-ID"/>
        </w:rPr>
      </w:pPr>
      <w:r w:rsidRPr="00452035">
        <w:rPr>
          <w:lang w:eastAsia="en-ID"/>
        </w:rPr>
        <w:t>Potey LC, Chapekar S, Armarkar A V, Birade P, Shete Y, Waghmare S, et al. Effects of Early and Premature Menopause on Women Health. Indian Journal of Pharmacy Practice. 2024;</w:t>
      </w:r>
      <w:r>
        <w:rPr>
          <w:lang w:eastAsia="en-ID"/>
        </w:rPr>
        <w:t xml:space="preserve"> Available from:</w:t>
      </w:r>
      <w:r w:rsidRPr="00452035">
        <w:rPr>
          <w:lang w:eastAsia="en-ID"/>
        </w:rPr>
        <w:t xml:space="preserve"> </w:t>
      </w:r>
      <w:hyperlink r:id="rId16" w:tgtFrame="_new" w:history="1">
        <w:r w:rsidRPr="00452035">
          <w:rPr>
            <w:rFonts w:eastAsiaTheme="majorEastAsia"/>
            <w:color w:val="0563C1" w:themeColor="hyperlink"/>
            <w:u w:val="single"/>
            <w:lang w:eastAsia="en-ID"/>
          </w:rPr>
          <w:t>https://ijopp.org/article/1054</w:t>
        </w:r>
      </w:hyperlink>
      <w:r w:rsidRPr="00452035">
        <w:rPr>
          <w:lang w:eastAsia="en-ID"/>
        </w:rPr>
        <w:t xml:space="preserve"> </w:t>
      </w:r>
    </w:p>
    <w:p w14:paraId="65C811A9" w14:textId="7C7D1DB7" w:rsidR="00452035" w:rsidRPr="00452035" w:rsidRDefault="00452035" w:rsidP="00452035">
      <w:pPr>
        <w:pStyle w:val="References"/>
        <w:rPr>
          <w:lang w:eastAsia="en-ID"/>
        </w:rPr>
      </w:pPr>
      <w:r w:rsidRPr="00452035">
        <w:rPr>
          <w:lang w:eastAsia="en-ID"/>
        </w:rPr>
        <w:t xml:space="preserve">Kotusiewicz W, Siekierko N, Żołnierek M, Lewandowski M, Gacoń E, Zembala J, et al. The influence of phytoestrogens on alleviating symptoms associated with menopause. Journal of Education, Health and Sport [Internet]. 2023;38(1):11–22. Available from: </w:t>
      </w:r>
      <w:hyperlink r:id="rId17" w:history="1">
        <w:r w:rsidRPr="00452035">
          <w:rPr>
            <w:rFonts w:eastAsiaTheme="majorEastAsia"/>
            <w:color w:val="0563C1" w:themeColor="hyperlink"/>
            <w:u w:val="single"/>
            <w:lang w:eastAsia="en-ID"/>
          </w:rPr>
          <w:t>https://apcz.umk.pl/JEHS/article/download/43842/35751</w:t>
        </w:r>
      </w:hyperlink>
      <w:r w:rsidRPr="00452035">
        <w:rPr>
          <w:lang w:eastAsia="en-ID"/>
        </w:rPr>
        <w:t xml:space="preserve"> </w:t>
      </w:r>
    </w:p>
    <w:p w14:paraId="475A6C5E" w14:textId="1A71F974" w:rsidR="00452035" w:rsidRPr="00452035" w:rsidRDefault="00452035" w:rsidP="00452035">
      <w:pPr>
        <w:pStyle w:val="References"/>
        <w:rPr>
          <w:lang w:eastAsia="en-ID"/>
        </w:rPr>
      </w:pPr>
      <w:r w:rsidRPr="00452035">
        <w:rPr>
          <w:lang w:eastAsia="en-ID"/>
        </w:rPr>
        <w:t xml:space="preserve">Kuck MJ, Hogervorst E. Stress, depression, and anxiety: psychological complaints across menopausal stages. Front Psychiatry [Internet]. 2024;15:1323743. Available from: </w:t>
      </w:r>
      <w:hyperlink r:id="rId18" w:history="1">
        <w:r w:rsidRPr="00452035">
          <w:rPr>
            <w:rFonts w:eastAsiaTheme="majorEastAsia"/>
            <w:color w:val="0563C1" w:themeColor="hyperlink"/>
            <w:u w:val="single"/>
            <w:lang w:eastAsia="en-ID"/>
          </w:rPr>
          <w:t>https://doi.org/10.3389/fpsyt.2024.1323743</w:t>
        </w:r>
      </w:hyperlink>
      <w:r w:rsidRPr="00452035">
        <w:rPr>
          <w:lang w:eastAsia="en-ID"/>
        </w:rPr>
        <w:t xml:space="preserve"> </w:t>
      </w:r>
    </w:p>
    <w:p w14:paraId="72FC2DA2" w14:textId="0C171D8A" w:rsidR="00452035" w:rsidRPr="00452035" w:rsidRDefault="00452035" w:rsidP="00452035">
      <w:pPr>
        <w:pStyle w:val="References"/>
        <w:rPr>
          <w:lang w:eastAsia="en-ID"/>
        </w:rPr>
      </w:pPr>
      <w:r w:rsidRPr="00452035">
        <w:rPr>
          <w:lang w:eastAsia="en-ID"/>
        </w:rPr>
        <w:t xml:space="preserve">WHO. Integrating Complementary Therapies in Clinical Practice. WHO Report. 2023; </w:t>
      </w:r>
    </w:p>
    <w:p w14:paraId="4F6F97BC" w14:textId="591BE7B3" w:rsidR="00452035" w:rsidRPr="00452035" w:rsidRDefault="00452035" w:rsidP="00452035">
      <w:pPr>
        <w:pStyle w:val="References"/>
        <w:numPr>
          <w:ilvl w:val="0"/>
          <w:numId w:val="0"/>
        </w:numPr>
        <w:ind w:left="357"/>
        <w:rPr>
          <w:lang w:eastAsia="en-ID"/>
        </w:rPr>
      </w:pPr>
      <w:r w:rsidRPr="00452035">
        <w:rPr>
          <w:lang w:eastAsia="en-ID"/>
        </w:rPr>
        <w:t xml:space="preserve">Wen J, Wang Y, Liu K, Sun X, Zhou J, Hu H, et al. The psychological side of menopause: evidence from the comorbidity network of menopausal, anxiety, and depressive symptoms. Menopause. 2024; </w:t>
      </w:r>
      <w:r>
        <w:rPr>
          <w:lang w:eastAsia="en-ID"/>
        </w:rPr>
        <w:t xml:space="preserve">Available from: </w:t>
      </w:r>
      <w:hyperlink r:id="rId19" w:history="1">
        <w:r w:rsidRPr="00376149">
          <w:rPr>
            <w:rStyle w:val="Hyperlink"/>
            <w:rFonts w:eastAsiaTheme="majorEastAsia"/>
            <w:lang w:val="en-AU" w:eastAsia="en-ID"/>
          </w:rPr>
          <w:t>https://doi.org/10.1097/GME.0000000000002406</w:t>
        </w:r>
      </w:hyperlink>
      <w:r w:rsidRPr="00452035">
        <w:rPr>
          <w:lang w:val="en-AU" w:eastAsia="en-ID"/>
        </w:rPr>
        <w:t xml:space="preserve"> </w:t>
      </w:r>
    </w:p>
    <w:p w14:paraId="071CF91E" w14:textId="08F690A9" w:rsidR="00452035" w:rsidRPr="00452035" w:rsidRDefault="00452035" w:rsidP="00452035">
      <w:pPr>
        <w:pStyle w:val="References"/>
        <w:rPr>
          <w:lang w:eastAsia="en-ID"/>
        </w:rPr>
      </w:pPr>
      <w:r w:rsidRPr="00452035">
        <w:rPr>
          <w:lang w:eastAsia="en-ID"/>
        </w:rPr>
        <w:t xml:space="preserve">Dave A, Patel DJ, Shrivastava D, Chaudhari K, Manchanda R. Considerations in Premature Menopause: A Review. Cureus. 2024; </w:t>
      </w:r>
      <w:r>
        <w:rPr>
          <w:lang w:eastAsia="en-ID"/>
        </w:rPr>
        <w:t>Available from:</w:t>
      </w:r>
      <w:r w:rsidRPr="00452035">
        <w:rPr>
          <w:lang w:eastAsia="en-ID"/>
        </w:rPr>
        <w:t xml:space="preserve"> </w:t>
      </w:r>
      <w:hyperlink r:id="rId20" w:history="1">
        <w:r w:rsidRPr="00452035">
          <w:rPr>
            <w:rFonts w:eastAsiaTheme="majorEastAsia"/>
            <w:color w:val="0563C1" w:themeColor="hyperlink"/>
            <w:u w:val="single"/>
            <w:lang w:val="en-AU" w:eastAsia="en-ID"/>
          </w:rPr>
          <w:t>https://doi.org/10.7759/cureus.69744</w:t>
        </w:r>
      </w:hyperlink>
      <w:r w:rsidRPr="00452035">
        <w:rPr>
          <w:lang w:val="en-AU" w:eastAsia="en-ID"/>
        </w:rPr>
        <w:t xml:space="preserve"> </w:t>
      </w:r>
    </w:p>
    <w:p w14:paraId="7D8DA400" w14:textId="634E21FA" w:rsidR="00452035" w:rsidRPr="00452035" w:rsidRDefault="00452035" w:rsidP="00452035">
      <w:pPr>
        <w:pStyle w:val="References"/>
        <w:rPr>
          <w:lang w:eastAsia="en-ID"/>
        </w:rPr>
      </w:pPr>
      <w:r w:rsidRPr="00452035">
        <w:rPr>
          <w:lang w:eastAsia="en-ID"/>
        </w:rPr>
        <w:t xml:space="preserve">Goyal M, Singh S, Sibinga EM, Gould NF, Rowland-Seymour A, Sharma R, et al. Meditation programs for psychological stress and well-being: a systematic review and meta-analysis. JAMA Intern Med [Internet]. 2023;174(3):357–68. Available from: </w:t>
      </w:r>
      <w:hyperlink r:id="rId21" w:history="1">
        <w:r w:rsidRPr="00452035">
          <w:rPr>
            <w:rFonts w:eastAsiaTheme="majorEastAsia"/>
            <w:color w:val="0563C1" w:themeColor="hyperlink"/>
            <w:u w:val="single"/>
            <w:lang w:eastAsia="en-ID"/>
          </w:rPr>
          <w:t>https://doi.org/10.1001/jamainternmed.2013.13018</w:t>
        </w:r>
      </w:hyperlink>
      <w:r w:rsidRPr="00452035">
        <w:rPr>
          <w:lang w:eastAsia="en-ID"/>
        </w:rPr>
        <w:t xml:space="preserve"> </w:t>
      </w:r>
    </w:p>
    <w:p w14:paraId="5CDE3A3E" w14:textId="1E95B0A7" w:rsidR="00452035" w:rsidRPr="00452035" w:rsidRDefault="00452035" w:rsidP="00452035">
      <w:pPr>
        <w:pStyle w:val="References"/>
        <w:rPr>
          <w:lang w:eastAsia="en-ID"/>
        </w:rPr>
      </w:pPr>
      <w:r w:rsidRPr="00452035">
        <w:rPr>
          <w:lang w:val="en-AU" w:eastAsia="en-ID"/>
        </w:rPr>
        <w:t xml:space="preserve"> </w:t>
      </w:r>
      <w:r w:rsidRPr="00452035">
        <w:rPr>
          <w:lang w:eastAsia="en-ID"/>
        </w:rPr>
        <w:t xml:space="preserve">Hossein Mirzaee Beni Z, Maasoumi R, Pashaeypoor S, Haghani S. The effects of self-care education based on the health literacy index on self-care and quality of life among menopausal women: a randomized clinical trial. BMC Womens Health. 2022;22(1):452. </w:t>
      </w:r>
      <w:r>
        <w:rPr>
          <w:lang w:eastAsia="en-ID"/>
        </w:rPr>
        <w:t>Available from:</w:t>
      </w:r>
      <w:r w:rsidRPr="00452035">
        <w:rPr>
          <w:lang w:eastAsia="en-ID"/>
        </w:rPr>
        <w:t xml:space="preserve"> </w:t>
      </w:r>
      <w:hyperlink r:id="rId22" w:history="1">
        <w:r w:rsidRPr="00452035">
          <w:rPr>
            <w:rFonts w:eastAsiaTheme="majorEastAsia"/>
            <w:color w:val="0563C1" w:themeColor="hyperlink"/>
            <w:u w:val="single"/>
            <w:lang w:val="en-AU" w:eastAsia="en-ID"/>
          </w:rPr>
          <w:t>https://doi.org/10.1186/s12905-022-02007-2</w:t>
        </w:r>
      </w:hyperlink>
      <w:r w:rsidRPr="00452035">
        <w:rPr>
          <w:lang w:val="en-AU" w:eastAsia="en-ID"/>
        </w:rPr>
        <w:t xml:space="preserve"> </w:t>
      </w:r>
    </w:p>
    <w:p w14:paraId="546D4738" w14:textId="2B2005E5" w:rsidR="00452035" w:rsidRPr="00452035" w:rsidRDefault="00452035" w:rsidP="00452035">
      <w:pPr>
        <w:pStyle w:val="References"/>
        <w:rPr>
          <w:lang w:eastAsia="en-ID"/>
        </w:rPr>
      </w:pPr>
      <w:r w:rsidRPr="00452035">
        <w:rPr>
          <w:lang w:eastAsia="en-ID"/>
        </w:rPr>
        <w:t xml:space="preserve">Kafaei-Atrian M, Sadat Z, Nasiri S, Izadi-Avanji FS. The Effect of Self-care Education Based on Self-efficacy Theory, Individual Empowerment Model, and Their Integration on Quality of Life among Menopausal Women. Int J Community Based Nurs Midwifery [Internet]. 2022;10(1):54–66. Available from: </w:t>
      </w:r>
      <w:hyperlink r:id="rId23" w:history="1">
        <w:r w:rsidRPr="00452035">
          <w:rPr>
            <w:rFonts w:eastAsiaTheme="majorEastAsia"/>
            <w:color w:val="0563C1" w:themeColor="hyperlink"/>
            <w:u w:val="single"/>
            <w:lang w:eastAsia="en-ID"/>
          </w:rPr>
          <w:t>https://pmc.ncbi.nlm.nih.gov/articles/PMC8724726/</w:t>
        </w:r>
      </w:hyperlink>
      <w:r w:rsidRPr="00452035">
        <w:rPr>
          <w:lang w:eastAsia="en-ID"/>
        </w:rPr>
        <w:t xml:space="preserve"> </w:t>
      </w:r>
    </w:p>
    <w:p w14:paraId="7F52225B" w14:textId="5BAD1512" w:rsidR="00452035" w:rsidRPr="00452035" w:rsidRDefault="00452035" w:rsidP="00452035">
      <w:pPr>
        <w:pStyle w:val="References"/>
        <w:rPr>
          <w:lang w:eastAsia="en-ID"/>
        </w:rPr>
      </w:pPr>
      <w:r w:rsidRPr="00452035">
        <w:rPr>
          <w:lang w:eastAsia="en-ID"/>
        </w:rPr>
        <w:t>Levine L, Hall JE. Does the environment affect menopause? A review of the effects of endocrine disrupting chemicals on menopause. Climacteric. 2023;26(3):206–15.</w:t>
      </w:r>
      <w:r>
        <w:rPr>
          <w:lang w:eastAsia="en-ID"/>
        </w:rPr>
        <w:t xml:space="preserve"> Available from: </w:t>
      </w:r>
      <w:hyperlink r:id="rId24" w:history="1">
        <w:r w:rsidRPr="00376149">
          <w:rPr>
            <w:rStyle w:val="Hyperlink"/>
            <w:rFonts w:eastAsiaTheme="majorEastAsia"/>
            <w:lang w:val="en-AU" w:eastAsia="en-ID"/>
          </w:rPr>
          <w:t>https://doi.org/10.1080/13697137.2023.2194571</w:t>
        </w:r>
      </w:hyperlink>
      <w:r w:rsidRPr="00452035">
        <w:rPr>
          <w:lang w:val="en-AU" w:eastAsia="en-ID"/>
        </w:rPr>
        <w:t xml:space="preserve"> </w:t>
      </w:r>
    </w:p>
    <w:p w14:paraId="0CFCF64C" w14:textId="11084F69" w:rsidR="00452035" w:rsidRPr="00452035" w:rsidRDefault="00452035" w:rsidP="00452035">
      <w:pPr>
        <w:pStyle w:val="References"/>
        <w:rPr>
          <w:lang w:eastAsia="en-ID"/>
        </w:rPr>
      </w:pPr>
      <w:r w:rsidRPr="00452035">
        <w:rPr>
          <w:lang w:eastAsia="en-ID"/>
        </w:rPr>
        <w:t xml:space="preserve">Lim H, Kwon KH. Appearance Self-Concept Enhances Quality of Life through Generativity in Middle-Aged Women. Univers J Public Health [Internet]. 2025;13(4):843–51. Available from: </w:t>
      </w:r>
      <w:hyperlink r:id="rId25" w:history="1">
        <w:r w:rsidRPr="00452035">
          <w:rPr>
            <w:rFonts w:eastAsiaTheme="majorEastAsia"/>
            <w:color w:val="0563C1" w:themeColor="hyperlink"/>
            <w:u w:val="single"/>
            <w:lang w:eastAsia="en-ID"/>
          </w:rPr>
          <w:t>http://www.hrpub.org</w:t>
        </w:r>
      </w:hyperlink>
      <w:r w:rsidRPr="00452035">
        <w:rPr>
          <w:lang w:eastAsia="en-ID"/>
        </w:rPr>
        <w:t xml:space="preserve"> </w:t>
      </w:r>
    </w:p>
    <w:p w14:paraId="5F817130" w14:textId="6A32AB32" w:rsidR="00452035" w:rsidRPr="00452035" w:rsidRDefault="00452035" w:rsidP="00452035">
      <w:pPr>
        <w:pStyle w:val="References"/>
        <w:rPr>
          <w:lang w:eastAsia="en-ID"/>
        </w:rPr>
      </w:pPr>
      <w:r w:rsidRPr="00452035">
        <w:rPr>
          <w:lang w:eastAsia="en-ID"/>
        </w:rPr>
        <w:t xml:space="preserve">Inman Z, Flaws JA. Endocrine Disrupting Chemicals, Reproductive Aging, and Menopause: A Review. Reproduction. 2024;168(5). </w:t>
      </w:r>
      <w:r>
        <w:rPr>
          <w:lang w:eastAsia="en-ID"/>
        </w:rPr>
        <w:t xml:space="preserve">Available from: </w:t>
      </w:r>
      <w:hyperlink r:id="rId26" w:history="1">
        <w:r w:rsidRPr="00376149">
          <w:rPr>
            <w:rStyle w:val="Hyperlink"/>
            <w:rFonts w:eastAsiaTheme="majorEastAsia"/>
            <w:lang w:val="en-AU" w:eastAsia="en-ID"/>
          </w:rPr>
          <w:t>https://doi.org/10.1530/REP-24-0200</w:t>
        </w:r>
      </w:hyperlink>
      <w:r w:rsidRPr="00452035">
        <w:rPr>
          <w:lang w:val="en-AU" w:eastAsia="en-ID"/>
        </w:rPr>
        <w:t xml:space="preserve"> </w:t>
      </w:r>
    </w:p>
    <w:p w14:paraId="03E02565" w14:textId="0E8E9B53" w:rsidR="00452035" w:rsidRPr="00452035" w:rsidRDefault="00452035" w:rsidP="00452035">
      <w:pPr>
        <w:pStyle w:val="References"/>
        <w:rPr>
          <w:lang w:eastAsia="en-ID"/>
        </w:rPr>
      </w:pPr>
      <w:r w:rsidRPr="00452035">
        <w:rPr>
          <w:lang w:eastAsia="en-ID"/>
        </w:rPr>
        <w:t xml:space="preserve">Miura KW, Sekiguchi T, Tokunaga S, Sugimoto H, Kishimoto T, Kudo T, et al. A 12-week application-based group conversation intervention on cognitive health and psychosocial well-being among older adults during the COVID-19 pandemic: a randomized controlled trial. BMC Geriatr [Internet]. 2025;25:774. Available from: </w:t>
      </w:r>
      <w:hyperlink r:id="rId27" w:history="1">
        <w:r w:rsidRPr="00452035">
          <w:rPr>
            <w:rFonts w:eastAsiaTheme="majorEastAsia"/>
            <w:color w:val="0563C1" w:themeColor="hyperlink"/>
            <w:u w:val="single"/>
            <w:lang w:eastAsia="en-ID"/>
          </w:rPr>
          <w:t>https://bmcgeriatr.biomedcentral.com/articles/10.1186/s12877-025-06444-0</w:t>
        </w:r>
      </w:hyperlink>
      <w:r w:rsidRPr="00452035">
        <w:rPr>
          <w:lang w:eastAsia="en-ID"/>
        </w:rPr>
        <w:t xml:space="preserve"> </w:t>
      </w:r>
    </w:p>
    <w:p w14:paraId="490736D5" w14:textId="204BAE56" w:rsidR="00452035" w:rsidRPr="00452035" w:rsidRDefault="00452035" w:rsidP="00452035">
      <w:pPr>
        <w:pStyle w:val="References"/>
        <w:rPr>
          <w:lang w:eastAsia="en-ID"/>
        </w:rPr>
      </w:pPr>
      <w:r w:rsidRPr="00452035">
        <w:rPr>
          <w:lang w:eastAsia="en-ID"/>
        </w:rPr>
        <w:t>Dewi RK. Elderly Cognitive Functions at Tresna Werdha Islamic Village Nursing Home, Tangerang. Jurnal PROMKES. 2021 Sep 23;9(2):142.</w:t>
      </w:r>
      <w:r>
        <w:rPr>
          <w:lang w:eastAsia="en-ID"/>
        </w:rPr>
        <w:t xml:space="preserve"> Available from: </w:t>
      </w:r>
      <w:hyperlink r:id="rId28" w:history="1">
        <w:r w:rsidRPr="00452035">
          <w:rPr>
            <w:rFonts w:eastAsiaTheme="majorEastAsia"/>
            <w:color w:val="0563C1" w:themeColor="hyperlink"/>
            <w:u w:val="single"/>
            <w:lang w:val="en-AU" w:eastAsia="en-ID"/>
          </w:rPr>
          <w:t>https://doi.org/10.20473/jpk.V9.I2.2021.142-150</w:t>
        </w:r>
      </w:hyperlink>
      <w:r w:rsidRPr="00452035">
        <w:rPr>
          <w:lang w:val="en-AU" w:eastAsia="en-ID"/>
        </w:rPr>
        <w:t xml:space="preserve"> </w:t>
      </w:r>
    </w:p>
    <w:p w14:paraId="34CF6A7D" w14:textId="126BCD52" w:rsidR="00452035" w:rsidRPr="00452035" w:rsidRDefault="00452035" w:rsidP="00452035">
      <w:pPr>
        <w:pStyle w:val="References"/>
        <w:rPr>
          <w:lang w:eastAsia="en-ID"/>
        </w:rPr>
      </w:pPr>
      <w:r w:rsidRPr="00452035">
        <w:rPr>
          <w:lang w:eastAsia="en-ID"/>
        </w:rPr>
        <w:lastRenderedPageBreak/>
        <w:t xml:space="preserve">Kafaei-Atrian M, Sadat Z, Nasiri S, Izadi-Avanji FS. The effect of self-care education based on self-efficacy theory, individual empowerment model, and their integration on quality of life among menopausal women. Int J Community Based Nurs Midwifery. 2022;10(1):54. </w:t>
      </w:r>
      <w:r>
        <w:rPr>
          <w:lang w:eastAsia="en-ID"/>
        </w:rPr>
        <w:t xml:space="preserve">Available from: </w:t>
      </w:r>
      <w:hyperlink r:id="rId29" w:history="1">
        <w:r w:rsidRPr="00452035">
          <w:rPr>
            <w:rFonts w:eastAsiaTheme="majorEastAsia"/>
            <w:color w:val="0563C1" w:themeColor="hyperlink"/>
            <w:u w:val="single"/>
            <w:lang w:eastAsia="en-ID"/>
          </w:rPr>
          <w:t>https://doi.org/10.30476/IJCBNM.2022.92236.2319</w:t>
        </w:r>
      </w:hyperlink>
      <w:r w:rsidRPr="00452035">
        <w:rPr>
          <w:lang w:eastAsia="en-ID"/>
        </w:rPr>
        <w:t xml:space="preserve"> </w:t>
      </w:r>
    </w:p>
    <w:p w14:paraId="14350079" w14:textId="2A177078" w:rsidR="00452035" w:rsidRPr="00452035" w:rsidRDefault="00452035" w:rsidP="00452035">
      <w:pPr>
        <w:pStyle w:val="References"/>
        <w:rPr>
          <w:lang w:eastAsia="en-ID"/>
        </w:rPr>
      </w:pPr>
      <w:r w:rsidRPr="00452035">
        <w:rPr>
          <w:lang w:eastAsia="en-ID"/>
        </w:rPr>
        <w:t xml:space="preserve">Dewi RK. Hubungan Kepatuhan Menjalani Kemoterapi dengan Kualitas Hidup Pasien Kanker Payudara di RSUD Dr. Moewardi Surakarta. Jurnal Ilmiah Kesehatan Masyarakat: Media Komunikasi Komunitas Kesehatan Masyarakat. 2020;12(4):158–63. </w:t>
      </w:r>
      <w:r>
        <w:rPr>
          <w:lang w:eastAsia="en-ID"/>
        </w:rPr>
        <w:t xml:space="preserve">Available from: </w:t>
      </w:r>
      <w:r w:rsidRPr="00452035">
        <w:rPr>
          <w:lang w:eastAsia="en-ID"/>
        </w:rPr>
        <w:t xml:space="preserve"> </w:t>
      </w:r>
      <w:hyperlink r:id="rId30" w:history="1">
        <w:r w:rsidRPr="00452035">
          <w:rPr>
            <w:rFonts w:eastAsiaTheme="majorEastAsia"/>
            <w:color w:val="0563C1" w:themeColor="hyperlink"/>
            <w:u w:val="single"/>
            <w:lang w:eastAsia="en-ID"/>
          </w:rPr>
          <w:t>https://doi.org/10.30597/jikm.v12i4.10843</w:t>
        </w:r>
      </w:hyperlink>
      <w:r w:rsidRPr="00452035">
        <w:rPr>
          <w:lang w:eastAsia="en-ID"/>
        </w:rPr>
        <w:t xml:space="preserve"> </w:t>
      </w:r>
    </w:p>
    <w:p w14:paraId="505FEB3C" w14:textId="71BB33DE" w:rsidR="00452035" w:rsidRPr="00452035" w:rsidRDefault="00452035" w:rsidP="00452035">
      <w:pPr>
        <w:pStyle w:val="References"/>
        <w:rPr>
          <w:lang w:eastAsia="en-ID"/>
        </w:rPr>
      </w:pPr>
      <w:r w:rsidRPr="00452035">
        <w:rPr>
          <w:lang w:eastAsia="en-ID"/>
        </w:rPr>
        <w:t xml:space="preserve">Bień A, Niewiadomska I, Korżyńska-Piętas M, Rzońca E, Zarajczyk M, Pięta B, et al. General self-efficacy as a moderator between severity of menopausal symptoms and satisfaction with life in menopausal women. Front Public Health. 2024;12:1426191. </w:t>
      </w:r>
      <w:r>
        <w:rPr>
          <w:lang w:eastAsia="en-ID"/>
        </w:rPr>
        <w:t xml:space="preserve">Available from: </w:t>
      </w:r>
      <w:r w:rsidRPr="00452035">
        <w:rPr>
          <w:lang w:eastAsia="en-ID"/>
        </w:rPr>
        <w:t xml:space="preserve"> </w:t>
      </w:r>
      <w:hyperlink r:id="rId31" w:history="1">
        <w:r w:rsidRPr="00452035">
          <w:rPr>
            <w:rFonts w:eastAsiaTheme="majorEastAsia"/>
            <w:color w:val="0563C1" w:themeColor="hyperlink"/>
            <w:u w:val="single"/>
            <w:lang w:eastAsia="en-ID"/>
          </w:rPr>
          <w:t>https://doi.org/10.3389/fpubh.2024.1426191</w:t>
        </w:r>
      </w:hyperlink>
      <w:r w:rsidRPr="00452035">
        <w:rPr>
          <w:lang w:eastAsia="en-ID"/>
        </w:rPr>
        <w:t xml:space="preserve"> </w:t>
      </w:r>
    </w:p>
    <w:p w14:paraId="0AD04F5E" w14:textId="62ED8799" w:rsidR="00452035" w:rsidRPr="00452035" w:rsidRDefault="00452035" w:rsidP="00452035">
      <w:pPr>
        <w:pStyle w:val="References"/>
        <w:rPr>
          <w:lang w:eastAsia="en-ID"/>
        </w:rPr>
      </w:pPr>
      <w:r w:rsidRPr="00452035">
        <w:rPr>
          <w:lang w:eastAsia="en-ID"/>
        </w:rPr>
        <w:t xml:space="preserve">Dewi RK. Faktor Determinan Menopause Prekoks Di Kecamatan Kaliwungu Selatan Kota Kendal. Jurnal Ilmiah Kesehatan Ar-Rum Salatiga. 2022;6(2):27–36. </w:t>
      </w:r>
      <w:r>
        <w:rPr>
          <w:lang w:eastAsia="en-ID"/>
        </w:rPr>
        <w:t xml:space="preserve">Available from: </w:t>
      </w:r>
      <w:r w:rsidRPr="00452035">
        <w:rPr>
          <w:lang w:eastAsia="en-ID"/>
        </w:rPr>
        <w:t xml:space="preserve"> </w:t>
      </w:r>
      <w:hyperlink r:id="rId32" w:history="1">
        <w:r w:rsidRPr="00452035">
          <w:rPr>
            <w:rFonts w:eastAsiaTheme="majorEastAsia"/>
            <w:color w:val="0563C1" w:themeColor="hyperlink"/>
            <w:u w:val="single"/>
            <w:lang w:eastAsia="en-ID"/>
          </w:rPr>
          <w:t>https://jurnal.arrum-salatiga.ac.id/index.php/jika/article/view/353</w:t>
        </w:r>
      </w:hyperlink>
      <w:r w:rsidRPr="00452035">
        <w:rPr>
          <w:lang w:eastAsia="en-ID"/>
        </w:rPr>
        <w:t xml:space="preserve"> </w:t>
      </w:r>
    </w:p>
    <w:p w14:paraId="74817235" w14:textId="0BFDC64F" w:rsidR="00452035" w:rsidRPr="00452035" w:rsidRDefault="00452035" w:rsidP="00452035">
      <w:pPr>
        <w:pStyle w:val="References"/>
        <w:rPr>
          <w:lang w:eastAsia="en-ID"/>
        </w:rPr>
      </w:pPr>
      <w:r w:rsidRPr="00452035">
        <w:rPr>
          <w:lang w:eastAsia="en-ID"/>
        </w:rPr>
        <w:t xml:space="preserve">Granda EP, Moreira FN. Premature Ovarian Insufficiency, an important cause of early menopause: Review of the literature with clinical case reports. ESPOCH congresses. 2023; </w:t>
      </w:r>
      <w:r>
        <w:rPr>
          <w:lang w:eastAsia="en-ID"/>
        </w:rPr>
        <w:t xml:space="preserve">Available from: </w:t>
      </w:r>
      <w:r w:rsidRPr="00452035">
        <w:rPr>
          <w:lang w:eastAsia="en-ID"/>
        </w:rPr>
        <w:t xml:space="preserve"> </w:t>
      </w:r>
      <w:hyperlink r:id="rId33" w:history="1">
        <w:r w:rsidRPr="00452035">
          <w:rPr>
            <w:rFonts w:eastAsiaTheme="majorEastAsia"/>
            <w:color w:val="0563C1" w:themeColor="hyperlink"/>
            <w:u w:val="single"/>
            <w:lang w:eastAsia="en-ID"/>
          </w:rPr>
          <w:t>https://proceedings.espoch.edu.ec/index.php/espochconferences/article/view/979</w:t>
        </w:r>
      </w:hyperlink>
      <w:r w:rsidRPr="00452035">
        <w:rPr>
          <w:lang w:eastAsia="en-ID"/>
        </w:rPr>
        <w:t xml:space="preserve">  </w:t>
      </w:r>
    </w:p>
    <w:p w14:paraId="250749C6" w14:textId="1A496118" w:rsidR="00452035" w:rsidRPr="00452035" w:rsidRDefault="00452035" w:rsidP="00452035">
      <w:pPr>
        <w:pStyle w:val="References"/>
        <w:rPr>
          <w:lang w:eastAsia="en-ID"/>
        </w:rPr>
      </w:pPr>
      <w:r w:rsidRPr="00452035">
        <w:rPr>
          <w:lang w:eastAsia="en-ID"/>
        </w:rPr>
        <w:t xml:space="preserve">Dewi RK, Nardina EA. Pemberdayaan Lansia Produktif: Upaya Meningkatkan Kualitas Hidup dan Fungsi Kognitif Lansia di Posyandu Mayangkara Rejosari Semarang. Jurnal Mandala Pengabdian Masyarakat. 2024;5(2):346–54. </w:t>
      </w:r>
      <w:r>
        <w:rPr>
          <w:lang w:eastAsia="en-ID"/>
        </w:rPr>
        <w:t xml:space="preserve">Available from: </w:t>
      </w:r>
      <w:r w:rsidRPr="00452035">
        <w:rPr>
          <w:lang w:eastAsia="en-ID"/>
        </w:rPr>
        <w:t xml:space="preserve"> </w:t>
      </w:r>
      <w:hyperlink r:id="rId34" w:history="1">
        <w:r w:rsidRPr="00452035">
          <w:rPr>
            <w:rFonts w:eastAsiaTheme="majorEastAsia"/>
            <w:color w:val="0563C1" w:themeColor="hyperlink"/>
            <w:u w:val="single"/>
            <w:lang w:eastAsia="en-ID"/>
          </w:rPr>
          <w:t>https://doi.org/10.35311/jmpm.v5i2.640</w:t>
        </w:r>
      </w:hyperlink>
      <w:r w:rsidRPr="00452035">
        <w:rPr>
          <w:lang w:eastAsia="en-ID"/>
        </w:rPr>
        <w:t xml:space="preserve"> </w:t>
      </w:r>
    </w:p>
    <w:p w14:paraId="23A607C6" w14:textId="67E1E719" w:rsidR="00452035" w:rsidRPr="00452035" w:rsidRDefault="00452035" w:rsidP="00452035">
      <w:pPr>
        <w:pStyle w:val="References"/>
        <w:rPr>
          <w:lang w:eastAsia="en-ID"/>
        </w:rPr>
      </w:pPr>
      <w:r w:rsidRPr="00452035">
        <w:rPr>
          <w:lang w:eastAsia="en-ID"/>
        </w:rPr>
        <w:t xml:space="preserve">Erfiandi F, Madjid TH, Ritonga MNA, Susanto H, Handono B, Susiarno H. The Effects of Tofu Consumption on Menopause Symptoms and Equol Level (7-hydroxy-3-(4-hydroxyphenyl) chroman). The Internet journal of gynecology and obstetrics [Internet]. 2019;23(1). Available from: </w:t>
      </w:r>
      <w:hyperlink r:id="rId35" w:history="1">
        <w:r w:rsidRPr="00452035">
          <w:rPr>
            <w:rFonts w:eastAsiaTheme="majorEastAsia"/>
            <w:color w:val="0563C1" w:themeColor="hyperlink"/>
            <w:u w:val="single"/>
            <w:lang w:eastAsia="en-ID"/>
          </w:rPr>
          <w:t>https://print.ispub.com/api/0/ispub-article/54098</w:t>
        </w:r>
      </w:hyperlink>
      <w:r w:rsidRPr="00452035">
        <w:rPr>
          <w:lang w:eastAsia="en-ID"/>
        </w:rPr>
        <w:t xml:space="preserve"> </w:t>
      </w:r>
    </w:p>
    <w:p w14:paraId="3384FE6A" w14:textId="09704560" w:rsidR="00452035" w:rsidRPr="00452035" w:rsidRDefault="00452035" w:rsidP="00452035">
      <w:pPr>
        <w:pStyle w:val="References"/>
        <w:rPr>
          <w:lang w:eastAsia="en-ID"/>
        </w:rPr>
      </w:pPr>
      <w:r w:rsidRPr="00452035">
        <w:rPr>
          <w:lang w:eastAsia="en-ID"/>
        </w:rPr>
        <w:t xml:space="preserve">Nardina EA, kumala Dewi R, Astuti ED. Mengurai Tantangan Menopause Prekoks: Dampaknya Terhadap Kualitas Hidup Wanita. Jurnal Ilmu Keperawatan dan Kebidanan. 2025;16(1):33–44. </w:t>
      </w:r>
    </w:p>
    <w:p w14:paraId="1020E6ED" w14:textId="27A1C589" w:rsidR="00452035" w:rsidRPr="00452035" w:rsidRDefault="00452035" w:rsidP="00452035">
      <w:pPr>
        <w:pStyle w:val="References"/>
        <w:rPr>
          <w:lang w:eastAsia="en-ID"/>
        </w:rPr>
      </w:pPr>
      <w:r w:rsidRPr="00452035">
        <w:rPr>
          <w:lang w:eastAsia="en-ID"/>
        </w:rPr>
        <w:t xml:space="preserve">Dewi RK, Ekajayanti PPN. Integrasi Teknologi Wearable Dalam Pemantauan Kesehatan Jantung Pada Wanita Pascamenopause Studi Kasus Di Paguyuban Lansia Bahagia Yuswa Kencana Semarang: Integration Of Wearable Technology In Heart Health Monitoring For Postmenopausal Elderly Women At Paguyuban Lansia Bahagia Yuswa Kencana In Semarang. Intan Husada: Jurnal Ilmiah Keperawatan. 2025;13(01):170–87. </w:t>
      </w:r>
      <w:r>
        <w:rPr>
          <w:lang w:eastAsia="en-ID"/>
        </w:rPr>
        <w:t>Available from:</w:t>
      </w:r>
      <w:r w:rsidR="00447237">
        <w:rPr>
          <w:lang w:eastAsia="en-ID"/>
        </w:rPr>
        <w:t xml:space="preserve"> </w:t>
      </w:r>
      <w:hyperlink r:id="rId36" w:history="1">
        <w:r w:rsidR="00447237" w:rsidRPr="00376149">
          <w:rPr>
            <w:rStyle w:val="Hyperlink"/>
            <w:rFonts w:eastAsiaTheme="majorEastAsia"/>
            <w:lang w:eastAsia="en-ID"/>
          </w:rPr>
          <w:t>https://doi.org/10.52236/ih.v13i1.702</w:t>
        </w:r>
      </w:hyperlink>
      <w:r w:rsidRPr="00452035">
        <w:rPr>
          <w:lang w:eastAsia="en-ID"/>
        </w:rPr>
        <w:t xml:space="preserve">  </w:t>
      </w:r>
    </w:p>
    <w:p w14:paraId="5947D156" w14:textId="59CB0F14" w:rsidR="00452035" w:rsidRPr="00452035" w:rsidRDefault="00452035" w:rsidP="00452035">
      <w:pPr>
        <w:pStyle w:val="References"/>
        <w:rPr>
          <w:lang w:eastAsia="en-ID"/>
        </w:rPr>
      </w:pPr>
      <w:r w:rsidRPr="00452035">
        <w:rPr>
          <w:lang w:eastAsia="en-ID"/>
        </w:rPr>
        <w:t>Schultz NM, Morga A, Siddiqui E, Rhoten SE. Psychometric Evaluation of the MENQOL Instrument in Women Experiencing Vasomotor Symptoms Associated with Menopause. Adv Ther. 2024;</w:t>
      </w:r>
      <w:r w:rsidR="00447237" w:rsidRPr="00447237">
        <w:rPr>
          <w:lang w:eastAsia="en-ID"/>
        </w:rPr>
        <w:t xml:space="preserve"> </w:t>
      </w:r>
      <w:r w:rsidR="00447237">
        <w:rPr>
          <w:lang w:eastAsia="en-ID"/>
        </w:rPr>
        <w:t xml:space="preserve">Available from: </w:t>
      </w:r>
      <w:hyperlink r:id="rId37" w:history="1">
        <w:r w:rsidR="00447237" w:rsidRPr="00376149">
          <w:rPr>
            <w:rStyle w:val="Hyperlink"/>
            <w:rFonts w:eastAsiaTheme="majorEastAsia"/>
            <w:lang w:eastAsia="en-ID"/>
          </w:rPr>
          <w:t>https://doi.org/</w:t>
        </w:r>
        <w:r w:rsidR="00447237" w:rsidRPr="00376149">
          <w:rPr>
            <w:rStyle w:val="Hyperlink"/>
            <w:rFonts w:eastAsiaTheme="majorEastAsia"/>
            <w:lang w:val="en-AU" w:eastAsia="en-ID"/>
          </w:rPr>
          <w:t>10.1007/s12325-024-02787-z</w:t>
        </w:r>
      </w:hyperlink>
      <w:r w:rsidRPr="00452035">
        <w:rPr>
          <w:lang w:val="en-AU" w:eastAsia="en-ID"/>
        </w:rPr>
        <w:t xml:space="preserve"> </w:t>
      </w:r>
    </w:p>
    <w:p w14:paraId="3336B5C5" w14:textId="1E45D895" w:rsidR="00452035" w:rsidRPr="00452035" w:rsidRDefault="00452035" w:rsidP="00452035">
      <w:pPr>
        <w:pStyle w:val="References"/>
        <w:rPr>
          <w:lang w:eastAsia="en-ID"/>
        </w:rPr>
      </w:pPr>
      <w:r w:rsidRPr="00452035">
        <w:rPr>
          <w:lang w:eastAsia="en-ID"/>
        </w:rPr>
        <w:t xml:space="preserve">Liu H, Cai K, Wang J, Zhang H. The effects of mindfulness-based interventions on anxiety, depression, stress, and mindfulness in menopausal women: A systematic review and meta-analysis. Front Public Health [Internet]. 2023;Volume 10-2022. Available from: </w:t>
      </w:r>
      <w:hyperlink r:id="rId38" w:history="1">
        <w:r w:rsidRPr="00452035">
          <w:rPr>
            <w:rFonts w:eastAsiaTheme="majorEastAsia"/>
            <w:color w:val="0563C1" w:themeColor="hyperlink"/>
            <w:u w:val="single"/>
            <w:lang w:eastAsia="en-ID"/>
          </w:rPr>
          <w:t>https://www.frontiersin.org/journals/public-health/articles/10.3389/fpubh.2022.1045642</w:t>
        </w:r>
      </w:hyperlink>
      <w:r w:rsidRPr="00452035">
        <w:rPr>
          <w:lang w:eastAsia="en-ID"/>
        </w:rPr>
        <w:t xml:space="preserve"> </w:t>
      </w:r>
    </w:p>
    <w:p w14:paraId="54E82520" w14:textId="447F84AF" w:rsidR="00452035" w:rsidRPr="00452035" w:rsidRDefault="00452035" w:rsidP="00452035">
      <w:pPr>
        <w:pStyle w:val="References"/>
        <w:rPr>
          <w:lang w:eastAsia="en-ID"/>
        </w:rPr>
      </w:pPr>
      <w:r w:rsidRPr="00452035">
        <w:rPr>
          <w:lang w:eastAsia="en-ID"/>
        </w:rPr>
        <w:t xml:space="preserve">Trisnadewi BAP, Widyorini E, Utami MSS, Wijaya DA, Heryanto JF. Relationship among fear of COVID-19, health literacy, and COVID-19 survivors’ quality of life. In: The Proceeding of the 9th AHLA International Health Literacy Conference: Health Literacy and Social Resilience [Internet]. 2023. p. 20. Available from: </w:t>
      </w:r>
      <w:hyperlink r:id="rId39" w:history="1">
        <w:r w:rsidRPr="00452035">
          <w:rPr>
            <w:rFonts w:eastAsiaTheme="majorEastAsia"/>
            <w:color w:val="0563C1" w:themeColor="hyperlink"/>
            <w:u w:val="single"/>
            <w:lang w:eastAsia="en-ID"/>
          </w:rPr>
          <w:t>https://doi.org/10.30207%2fAHLA.202312.0019</w:t>
        </w:r>
      </w:hyperlink>
      <w:r w:rsidRPr="00452035">
        <w:rPr>
          <w:lang w:eastAsia="en-ID"/>
        </w:rPr>
        <w:t xml:space="preserve"> </w:t>
      </w:r>
    </w:p>
    <w:p w14:paraId="68E51F4E" w14:textId="5E428491" w:rsidR="00452035" w:rsidRPr="00452035" w:rsidRDefault="00452035" w:rsidP="00452035">
      <w:pPr>
        <w:pStyle w:val="References"/>
        <w:rPr>
          <w:lang w:eastAsia="en-ID"/>
        </w:rPr>
      </w:pPr>
      <w:r w:rsidRPr="00452035">
        <w:rPr>
          <w:lang w:eastAsia="en-ID"/>
        </w:rPr>
        <w:t>Liang G, Kow ASF, Yusof R, Tham CL, Ho YC, Lee MT. Menopause-Associated Depression: Impact of Oxidative Stress and Neuroinflammation on the Central Nervous System—A Review. Biomedicines. 2024;12.</w:t>
      </w:r>
      <w:r w:rsidR="00447237" w:rsidRPr="00447237">
        <w:rPr>
          <w:lang w:eastAsia="en-ID"/>
        </w:rPr>
        <w:t xml:space="preserve"> </w:t>
      </w:r>
      <w:r w:rsidR="00447237">
        <w:rPr>
          <w:lang w:eastAsia="en-ID"/>
        </w:rPr>
        <w:t xml:space="preserve">Available from: </w:t>
      </w:r>
      <w:hyperlink r:id="rId40" w:history="1">
        <w:r w:rsidR="00447237" w:rsidRPr="00376149">
          <w:rPr>
            <w:rStyle w:val="Hyperlink"/>
            <w:rFonts w:eastAsiaTheme="majorEastAsia"/>
            <w:lang w:eastAsia="en-ID"/>
          </w:rPr>
          <w:t>https://doi.org/10.3390/biomedicines12010184</w:t>
        </w:r>
      </w:hyperlink>
      <w:r w:rsidRPr="00452035">
        <w:rPr>
          <w:lang w:eastAsia="en-ID"/>
        </w:rPr>
        <w:t xml:space="preserve"> </w:t>
      </w:r>
    </w:p>
    <w:p w14:paraId="38EED5A5" w14:textId="61CC05F6" w:rsidR="00452035" w:rsidRPr="00452035" w:rsidRDefault="00452035" w:rsidP="00452035">
      <w:pPr>
        <w:pStyle w:val="References"/>
        <w:rPr>
          <w:lang w:eastAsia="en-ID"/>
        </w:rPr>
      </w:pPr>
      <w:r w:rsidRPr="00452035">
        <w:rPr>
          <w:lang w:eastAsia="en-ID"/>
        </w:rPr>
        <w:t>Leistikow NA, Smith MH. Perimenopause and Mental Health. Advances in psychiatry and behavioral health. 2022;2(1):107–18.</w:t>
      </w:r>
      <w:r w:rsidR="00447237" w:rsidRPr="00447237">
        <w:rPr>
          <w:lang w:eastAsia="en-ID"/>
        </w:rPr>
        <w:t xml:space="preserve"> </w:t>
      </w:r>
      <w:r w:rsidR="00447237">
        <w:rPr>
          <w:lang w:eastAsia="en-ID"/>
        </w:rPr>
        <w:t xml:space="preserve">Available from: </w:t>
      </w:r>
      <w:hyperlink r:id="rId41" w:history="1">
        <w:r w:rsidR="00447237" w:rsidRPr="00376149">
          <w:rPr>
            <w:rStyle w:val="Hyperlink"/>
            <w:rFonts w:eastAsiaTheme="majorEastAsia"/>
            <w:lang w:eastAsia="en-ID"/>
          </w:rPr>
          <w:t>https://doi.org/10.1016/j.apbh.2022.100007</w:t>
        </w:r>
      </w:hyperlink>
      <w:r w:rsidRPr="00452035">
        <w:rPr>
          <w:lang w:eastAsia="en-ID"/>
        </w:rPr>
        <w:t xml:space="preserve"> </w:t>
      </w:r>
    </w:p>
    <w:p w14:paraId="3D86DA68" w14:textId="1007008A" w:rsidR="00452035" w:rsidRPr="00452035" w:rsidRDefault="00452035" w:rsidP="00452035">
      <w:pPr>
        <w:pStyle w:val="References"/>
        <w:rPr>
          <w:lang w:eastAsia="en-ID"/>
        </w:rPr>
      </w:pPr>
      <w:r w:rsidRPr="00452035">
        <w:rPr>
          <w:lang w:eastAsia="en-ID"/>
        </w:rPr>
        <w:t xml:space="preserve">Khademi K, Kaveh MH, Nazari M, Asadollahi A. The Effect of a Health Promotion Program Based on Longwe’s Empowerment Framework on Self-efficacy, Perceived Social Support and </w:t>
      </w:r>
      <w:r w:rsidRPr="00452035">
        <w:rPr>
          <w:lang w:eastAsia="en-ID"/>
        </w:rPr>
        <w:lastRenderedPageBreak/>
        <w:t>Health Enablers among Postmenopausal Women: a Randomized Controlled Trial. Iranian Journal of Health Education and Health Promotion [Internet]. 2025;13(2):113–27. Available from:</w:t>
      </w:r>
      <w:r w:rsidR="00447237" w:rsidRPr="00447237">
        <w:rPr>
          <w:lang w:eastAsia="en-ID"/>
        </w:rPr>
        <w:t xml:space="preserve"> </w:t>
      </w:r>
      <w:r w:rsidR="00447237">
        <w:rPr>
          <w:lang w:eastAsia="en-ID"/>
        </w:rPr>
        <w:t xml:space="preserve">Available from: </w:t>
      </w:r>
      <w:hyperlink r:id="rId42" w:history="1">
        <w:r w:rsidR="00447237" w:rsidRPr="00376149">
          <w:rPr>
            <w:rStyle w:val="Hyperlink"/>
            <w:rFonts w:eastAsiaTheme="majorEastAsia"/>
            <w:lang w:eastAsia="en-ID"/>
          </w:rPr>
          <w:t>https://journal.ihepsa.ir/article-1-2957-en.html</w:t>
        </w:r>
      </w:hyperlink>
      <w:r w:rsidRPr="00452035">
        <w:rPr>
          <w:lang w:eastAsia="en-ID"/>
        </w:rPr>
        <w:t xml:space="preserve"> </w:t>
      </w:r>
    </w:p>
    <w:p w14:paraId="79759BD9" w14:textId="3B4C5D80" w:rsidR="00452035" w:rsidRPr="00452035" w:rsidRDefault="00452035" w:rsidP="00452035">
      <w:pPr>
        <w:pStyle w:val="References"/>
        <w:rPr>
          <w:lang w:eastAsia="en-ID"/>
        </w:rPr>
      </w:pPr>
      <w:r w:rsidRPr="00452035">
        <w:rPr>
          <w:lang w:eastAsia="en-ID"/>
        </w:rPr>
        <w:t xml:space="preserve">Das VNR, Sinha JK, Sultan S. Menopause-Related Insomnia, Cognitive, Behavioral, and Mindfulness-Based Treatments. Journal of Angiotherapy [Internet]. 2023;7(2). Available from: </w:t>
      </w:r>
      <w:hyperlink r:id="rId43" w:history="1">
        <w:r w:rsidRPr="00452035">
          <w:rPr>
            <w:rFonts w:eastAsiaTheme="majorEastAsia"/>
            <w:color w:val="0563C1" w:themeColor="hyperlink"/>
            <w:u w:val="single"/>
            <w:lang w:eastAsia="en-ID"/>
          </w:rPr>
          <w:t>https://publishing.emanresearch.org/CurrentIssuePDF/EmanPublisher_1_5208angiotherapy-729407.pdf</w:t>
        </w:r>
      </w:hyperlink>
      <w:r w:rsidRPr="00452035">
        <w:rPr>
          <w:lang w:eastAsia="en-ID"/>
        </w:rPr>
        <w:t xml:space="preserve"> </w:t>
      </w:r>
    </w:p>
    <w:p w14:paraId="2FE8CC65" w14:textId="27D88CB2" w:rsidR="00452035" w:rsidRPr="00452035" w:rsidRDefault="00452035" w:rsidP="00452035">
      <w:pPr>
        <w:pStyle w:val="References"/>
        <w:rPr>
          <w:lang w:eastAsia="en-ID"/>
        </w:rPr>
      </w:pPr>
      <w:r w:rsidRPr="00452035">
        <w:rPr>
          <w:lang w:eastAsia="en-ID"/>
        </w:rPr>
        <w:t xml:space="preserve">Kurniari PK, Hidayat R, Parlindungan F, Pratama MZ, Wibowo SAK, Sarmidi S, et al. Prevalence, Risk Factors, and Quality of Life of Knee Osteoarthritis in Urban Community in Indonesia: A &lt;scp&gt;COPCORD&lt;/scp&gt; Study. Int J Rheum Dis. 2025;28(1). </w:t>
      </w:r>
      <w:r w:rsidR="00447237">
        <w:rPr>
          <w:lang w:eastAsia="en-ID"/>
        </w:rPr>
        <w:t xml:space="preserve">Available from: </w:t>
      </w:r>
      <w:hyperlink r:id="rId44" w:history="1">
        <w:r w:rsidR="00447237" w:rsidRPr="00376149">
          <w:rPr>
            <w:rStyle w:val="Hyperlink"/>
            <w:rFonts w:eastAsiaTheme="majorEastAsia"/>
            <w:lang w:eastAsia="en-ID"/>
          </w:rPr>
          <w:t>https://doi.org/10.1111/1756-185X.70014</w:t>
        </w:r>
      </w:hyperlink>
      <w:r w:rsidRPr="00452035">
        <w:rPr>
          <w:lang w:eastAsia="en-ID"/>
        </w:rPr>
        <w:t xml:space="preserve"> </w:t>
      </w:r>
    </w:p>
    <w:p w14:paraId="10F5FC36" w14:textId="087E2182" w:rsidR="00452035" w:rsidRPr="00452035" w:rsidRDefault="00452035" w:rsidP="00452035">
      <w:pPr>
        <w:pStyle w:val="References"/>
        <w:rPr>
          <w:lang w:eastAsia="en-ID"/>
        </w:rPr>
      </w:pPr>
      <w:r w:rsidRPr="00452035">
        <w:rPr>
          <w:lang w:eastAsia="en-ID"/>
        </w:rPr>
        <w:t xml:space="preserve">Rahmawati N, Putri D, Lestari A. Effectiveness of the E-Puber (Empowered Women) Application with a Health Belief Approach on Eudaimonic Well-Being of Menopausal Women. Indonesian Journal of Global Health Research [Internet]. 2024;6(2):112–20. Available from: </w:t>
      </w:r>
      <w:hyperlink r:id="rId45" w:history="1">
        <w:r w:rsidRPr="00452035">
          <w:rPr>
            <w:rFonts w:eastAsiaTheme="majorEastAsia"/>
            <w:color w:val="0563C1" w:themeColor="hyperlink"/>
            <w:u w:val="single"/>
            <w:lang w:eastAsia="en-ID"/>
          </w:rPr>
          <w:t>https://journal.unisla.ac.id/index.php/ijghr/article/view/512</w:t>
        </w:r>
      </w:hyperlink>
      <w:r w:rsidRPr="00452035">
        <w:rPr>
          <w:lang w:eastAsia="en-ID"/>
        </w:rPr>
        <w:t xml:space="preserve"> </w:t>
      </w:r>
    </w:p>
    <w:p w14:paraId="47D95BF7" w14:textId="7336BA1D" w:rsidR="00452035" w:rsidRPr="00452035" w:rsidRDefault="00452035" w:rsidP="00452035">
      <w:pPr>
        <w:pStyle w:val="References"/>
        <w:rPr>
          <w:lang w:eastAsia="en-ID"/>
        </w:rPr>
      </w:pPr>
      <w:r w:rsidRPr="00452035">
        <w:rPr>
          <w:lang w:eastAsia="en-ID"/>
        </w:rPr>
        <w:t xml:space="preserve">3Dewi M, Hidayah R, Saputri T. Improving the Knowledge and Attitudes of Premenopausal Women through Menopause Education. Jurnal Kesmas Prima Indonesia (JKPI) [Internet]. 2025;5(1):77–85. Available from: </w:t>
      </w:r>
      <w:hyperlink r:id="rId46" w:history="1">
        <w:r w:rsidRPr="00452035">
          <w:rPr>
            <w:rFonts w:eastAsiaTheme="majorEastAsia"/>
            <w:color w:val="0563C1" w:themeColor="hyperlink"/>
            <w:u w:val="single"/>
            <w:lang w:eastAsia="en-ID"/>
          </w:rPr>
          <w:t>https://jurnal.poltekkes-smg.ac.id/ojs/index.php/jkpi/article/view/2981</w:t>
        </w:r>
      </w:hyperlink>
      <w:r w:rsidRPr="00452035">
        <w:rPr>
          <w:lang w:eastAsia="en-ID"/>
        </w:rPr>
        <w:t xml:space="preserve"> </w:t>
      </w:r>
    </w:p>
    <w:p w14:paraId="532E5352" w14:textId="1D7A33EC" w:rsidR="00840D82" w:rsidRDefault="00447237" w:rsidP="002740E1">
      <w:pPr>
        <w:pStyle w:val="References"/>
        <w:numPr>
          <w:ilvl w:val="0"/>
          <w:numId w:val="0"/>
        </w:numPr>
        <w:ind w:left="360"/>
      </w:pPr>
      <w:r w:rsidRPr="00327AC3">
        <w:rPr>
          <w:szCs w:val="32"/>
        </w:rPr>
        <w:t xml:space="preserve">Sari EN, Utami W, Wulandari R. Quality of Life Among Women at Menopause. KEMAS: Jurnal Kesehatan Masyarakat [Internet]. 2025;20(1):55–64. Available from: </w:t>
      </w:r>
      <w:hyperlink r:id="rId47" w:history="1">
        <w:r w:rsidRPr="002E3B10">
          <w:rPr>
            <w:rStyle w:val="Hyperlink"/>
            <w:rFonts w:eastAsiaTheme="majorEastAsia"/>
            <w:szCs w:val="32"/>
          </w:rPr>
          <w:t>https://journal.unnes.ac.id/nju/index.php/kemas/article/view/35129</w:t>
        </w:r>
      </w:hyperlink>
    </w:p>
    <w:p w14:paraId="6058C01E" w14:textId="77777777" w:rsidR="00840D82" w:rsidRDefault="00840D82" w:rsidP="002740E1">
      <w:pPr>
        <w:pStyle w:val="References"/>
        <w:numPr>
          <w:ilvl w:val="0"/>
          <w:numId w:val="0"/>
        </w:numPr>
        <w:ind w:left="360"/>
      </w:pPr>
    </w:p>
    <w:p w14:paraId="50F2D6B7" w14:textId="408F9BCC" w:rsidR="000B6095" w:rsidRPr="00DA400F" w:rsidRDefault="000B6095" w:rsidP="002740E1">
      <w:pPr>
        <w:pStyle w:val="References"/>
        <w:numPr>
          <w:ilvl w:val="0"/>
          <w:numId w:val="0"/>
        </w:numPr>
        <w:ind w:left="360"/>
        <w:jc w:val="center"/>
        <w:rPr>
          <w:sz w:val="20"/>
          <w:szCs w:val="20"/>
        </w:rPr>
      </w:pPr>
      <w:r w:rsidRPr="00DA400F">
        <w:t>Declarations</w:t>
      </w:r>
    </w:p>
    <w:tbl>
      <w:tblPr>
        <w:tblStyle w:val="TableGrid"/>
        <w:tblW w:w="50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272"/>
        <w:gridCol w:w="6575"/>
      </w:tblGrid>
      <w:tr w:rsidR="000B6095" w:rsidRPr="002740E1" w14:paraId="6E2D6D7F" w14:textId="77777777" w:rsidTr="004F0A07">
        <w:tc>
          <w:tcPr>
            <w:tcW w:w="1167" w:type="pct"/>
          </w:tcPr>
          <w:p w14:paraId="0F2402E6" w14:textId="77777777" w:rsidR="000B6095" w:rsidRPr="002740E1" w:rsidRDefault="000B6095" w:rsidP="002740E1">
            <w:pPr>
              <w:pStyle w:val="References"/>
              <w:numPr>
                <w:ilvl w:val="0"/>
                <w:numId w:val="0"/>
              </w:numPr>
              <w:rPr>
                <w:sz w:val="20"/>
                <w:szCs w:val="20"/>
                <w:lang w:val="fi-FI"/>
              </w:rPr>
            </w:pPr>
            <w:r w:rsidRPr="002740E1">
              <w:rPr>
                <w:sz w:val="20"/>
                <w:szCs w:val="20"/>
              </w:rPr>
              <w:t>Author contribution</w:t>
            </w:r>
          </w:p>
        </w:tc>
        <w:tc>
          <w:tcPr>
            <w:tcW w:w="152" w:type="pct"/>
          </w:tcPr>
          <w:p w14:paraId="738FF1EA" w14:textId="77777777" w:rsidR="000B6095" w:rsidRPr="002740E1" w:rsidRDefault="000B6095" w:rsidP="002740E1">
            <w:pPr>
              <w:pStyle w:val="References"/>
              <w:numPr>
                <w:ilvl w:val="0"/>
                <w:numId w:val="0"/>
              </w:numPr>
              <w:rPr>
                <w:sz w:val="20"/>
                <w:szCs w:val="20"/>
                <w:lang w:val="fi-FI"/>
              </w:rPr>
            </w:pPr>
            <w:r w:rsidRPr="002740E1">
              <w:rPr>
                <w:sz w:val="20"/>
                <w:szCs w:val="20"/>
              </w:rPr>
              <w:t>:</w:t>
            </w:r>
          </w:p>
        </w:tc>
        <w:tc>
          <w:tcPr>
            <w:tcW w:w="3680" w:type="pct"/>
          </w:tcPr>
          <w:p w14:paraId="74409F55" w14:textId="637BF98E" w:rsidR="000B6095" w:rsidRPr="002740E1" w:rsidRDefault="00366659" w:rsidP="002740E1">
            <w:pPr>
              <w:pStyle w:val="References"/>
              <w:numPr>
                <w:ilvl w:val="0"/>
                <w:numId w:val="0"/>
              </w:numPr>
              <w:rPr>
                <w:b/>
                <w:sz w:val="20"/>
                <w:szCs w:val="20"/>
                <w:lang w:val="fi-FI"/>
              </w:rPr>
            </w:pPr>
            <w:r w:rsidRPr="00366659">
              <w:rPr>
                <w:sz w:val="20"/>
                <w:szCs w:val="20"/>
              </w:rPr>
              <w:t>Ita Rahmawati is the first author and contributed to the conceptualization of the main research idea and provided publication funding.</w:t>
            </w:r>
            <w:r>
              <w:rPr>
                <w:sz w:val="20"/>
                <w:szCs w:val="20"/>
              </w:rPr>
              <w:t xml:space="preserve"> </w:t>
            </w:r>
            <w:r w:rsidRPr="00366659">
              <w:rPr>
                <w:sz w:val="20"/>
                <w:szCs w:val="20"/>
              </w:rPr>
              <w:t>Ratih Kumala Dewi served as the field coordinator and led the implementation of the study, including supervision of data collection and coordination with field health personnel. She also contributed to manuscript preparation</w:t>
            </w:r>
            <w:r>
              <w:rPr>
                <w:sz w:val="20"/>
                <w:szCs w:val="20"/>
              </w:rPr>
              <w:t xml:space="preserve">.  </w:t>
            </w:r>
            <w:r w:rsidRPr="00366659">
              <w:rPr>
                <w:sz w:val="20"/>
                <w:szCs w:val="20"/>
              </w:rPr>
              <w:t>The co-authors contributed to data acquisition, qualitative transcription, statistical analysis, and critical revision of the manuscript for important intellectual content</w:t>
            </w:r>
            <w:r>
              <w:rPr>
                <w:sz w:val="20"/>
                <w:szCs w:val="20"/>
              </w:rPr>
              <w:t xml:space="preserve">. </w:t>
            </w:r>
            <w:r w:rsidRPr="00366659">
              <w:rPr>
                <w:sz w:val="20"/>
                <w:szCs w:val="20"/>
              </w:rPr>
              <w:t>All authors reviewed and approved the final version of the manuscript</w:t>
            </w:r>
            <w:r>
              <w:rPr>
                <w:sz w:val="20"/>
                <w:szCs w:val="20"/>
              </w:rPr>
              <w:t>.</w:t>
            </w:r>
          </w:p>
        </w:tc>
      </w:tr>
      <w:tr w:rsidR="000B6095" w:rsidRPr="002740E1" w14:paraId="6CE4696C" w14:textId="77777777" w:rsidTr="004F0A07">
        <w:tc>
          <w:tcPr>
            <w:tcW w:w="1167" w:type="pct"/>
          </w:tcPr>
          <w:p w14:paraId="5FCE9772" w14:textId="77777777" w:rsidR="000B6095" w:rsidRPr="002740E1" w:rsidRDefault="000B6095" w:rsidP="002740E1">
            <w:pPr>
              <w:pStyle w:val="References"/>
              <w:numPr>
                <w:ilvl w:val="0"/>
                <w:numId w:val="0"/>
              </w:numPr>
              <w:rPr>
                <w:sz w:val="20"/>
                <w:szCs w:val="20"/>
              </w:rPr>
            </w:pPr>
            <w:r w:rsidRPr="002740E1">
              <w:rPr>
                <w:sz w:val="20"/>
                <w:szCs w:val="20"/>
              </w:rPr>
              <w:t>Funding statement</w:t>
            </w:r>
          </w:p>
        </w:tc>
        <w:tc>
          <w:tcPr>
            <w:tcW w:w="152" w:type="pct"/>
          </w:tcPr>
          <w:p w14:paraId="1394E96D" w14:textId="77777777" w:rsidR="000B6095" w:rsidRPr="002740E1" w:rsidRDefault="000B6095" w:rsidP="002740E1">
            <w:pPr>
              <w:pStyle w:val="References"/>
              <w:numPr>
                <w:ilvl w:val="0"/>
                <w:numId w:val="0"/>
              </w:numPr>
              <w:rPr>
                <w:sz w:val="20"/>
                <w:szCs w:val="20"/>
              </w:rPr>
            </w:pPr>
            <w:r w:rsidRPr="002740E1">
              <w:rPr>
                <w:sz w:val="20"/>
                <w:szCs w:val="20"/>
              </w:rPr>
              <w:t>:</w:t>
            </w:r>
          </w:p>
        </w:tc>
        <w:tc>
          <w:tcPr>
            <w:tcW w:w="3680" w:type="pct"/>
          </w:tcPr>
          <w:p w14:paraId="52CBBB7C" w14:textId="2B61E131" w:rsidR="000B6095" w:rsidRPr="002740E1" w:rsidRDefault="00366659" w:rsidP="002740E1">
            <w:pPr>
              <w:pStyle w:val="References"/>
              <w:numPr>
                <w:ilvl w:val="0"/>
                <w:numId w:val="0"/>
              </w:numPr>
              <w:rPr>
                <w:sz w:val="20"/>
                <w:szCs w:val="20"/>
              </w:rPr>
            </w:pPr>
            <w:r w:rsidRPr="00366659">
              <w:rPr>
                <w:sz w:val="20"/>
                <w:szCs w:val="20"/>
              </w:rPr>
              <w:t>This study was financially supported through a collaborative funding scheme by DRPPM STIKES Estu Utomo via the Internal Research Grant Scheme for the 2025 fiscal year (Contract No. 087/EUB/KM.01.00/2025) and Universitas Al-Hikmah Jepara (Contract No. 778/LPPM.UAJ/V/2025)</w:t>
            </w:r>
            <w:r w:rsidR="00654B52">
              <w:rPr>
                <w:sz w:val="20"/>
                <w:szCs w:val="20"/>
              </w:rPr>
              <w:t>.</w:t>
            </w:r>
          </w:p>
        </w:tc>
      </w:tr>
      <w:tr w:rsidR="000B6095" w:rsidRPr="002740E1" w14:paraId="5B2CD8D9" w14:textId="77777777" w:rsidTr="004F0A07">
        <w:tc>
          <w:tcPr>
            <w:tcW w:w="1167" w:type="pct"/>
          </w:tcPr>
          <w:p w14:paraId="11AD4B39" w14:textId="77777777" w:rsidR="000B6095" w:rsidRPr="002740E1" w:rsidRDefault="000B6095" w:rsidP="002740E1">
            <w:pPr>
              <w:pStyle w:val="References"/>
              <w:numPr>
                <w:ilvl w:val="0"/>
                <w:numId w:val="0"/>
              </w:numPr>
              <w:rPr>
                <w:sz w:val="20"/>
                <w:szCs w:val="20"/>
              </w:rPr>
            </w:pPr>
            <w:r w:rsidRPr="002740E1">
              <w:rPr>
                <w:sz w:val="20"/>
                <w:szCs w:val="20"/>
              </w:rPr>
              <w:t>Conflict of interest</w:t>
            </w:r>
          </w:p>
        </w:tc>
        <w:tc>
          <w:tcPr>
            <w:tcW w:w="152" w:type="pct"/>
          </w:tcPr>
          <w:p w14:paraId="402B8E44" w14:textId="77777777" w:rsidR="000B6095" w:rsidRPr="002740E1" w:rsidRDefault="000B6095" w:rsidP="002740E1">
            <w:pPr>
              <w:pStyle w:val="References"/>
              <w:numPr>
                <w:ilvl w:val="0"/>
                <w:numId w:val="0"/>
              </w:numPr>
              <w:rPr>
                <w:sz w:val="20"/>
                <w:szCs w:val="20"/>
              </w:rPr>
            </w:pPr>
            <w:r w:rsidRPr="002740E1">
              <w:rPr>
                <w:sz w:val="20"/>
                <w:szCs w:val="20"/>
              </w:rPr>
              <w:t>:</w:t>
            </w:r>
          </w:p>
        </w:tc>
        <w:tc>
          <w:tcPr>
            <w:tcW w:w="3680" w:type="pct"/>
          </w:tcPr>
          <w:p w14:paraId="61FDA842" w14:textId="27617EAE" w:rsidR="000B6095" w:rsidRPr="002740E1" w:rsidRDefault="003D5236" w:rsidP="002740E1">
            <w:pPr>
              <w:pStyle w:val="References"/>
              <w:numPr>
                <w:ilvl w:val="0"/>
                <w:numId w:val="0"/>
              </w:numPr>
              <w:rPr>
                <w:sz w:val="20"/>
                <w:szCs w:val="20"/>
              </w:rPr>
            </w:pPr>
            <w:r w:rsidRPr="003D5236">
              <w:rPr>
                <w:sz w:val="20"/>
                <w:szCs w:val="20"/>
              </w:rPr>
              <w:t>The authors declare no competing interests</w:t>
            </w:r>
            <w:r w:rsidR="000B6095" w:rsidRPr="002740E1">
              <w:rPr>
                <w:sz w:val="20"/>
                <w:szCs w:val="20"/>
              </w:rPr>
              <w:t>.</w:t>
            </w:r>
          </w:p>
        </w:tc>
      </w:tr>
      <w:tr w:rsidR="000B6095" w:rsidRPr="002740E1" w14:paraId="61AE950D" w14:textId="77777777" w:rsidTr="004F0A07">
        <w:tc>
          <w:tcPr>
            <w:tcW w:w="1167" w:type="pct"/>
          </w:tcPr>
          <w:p w14:paraId="6287D3BF" w14:textId="77777777" w:rsidR="000B6095" w:rsidRPr="002740E1" w:rsidRDefault="000B6095" w:rsidP="002740E1">
            <w:pPr>
              <w:pStyle w:val="References"/>
              <w:numPr>
                <w:ilvl w:val="0"/>
                <w:numId w:val="0"/>
              </w:numPr>
              <w:rPr>
                <w:sz w:val="20"/>
                <w:szCs w:val="20"/>
              </w:rPr>
            </w:pPr>
            <w:r w:rsidRPr="002740E1">
              <w:rPr>
                <w:sz w:val="20"/>
                <w:szCs w:val="20"/>
              </w:rPr>
              <w:t>Additional information</w:t>
            </w:r>
          </w:p>
        </w:tc>
        <w:tc>
          <w:tcPr>
            <w:tcW w:w="152" w:type="pct"/>
          </w:tcPr>
          <w:p w14:paraId="0FD33B34" w14:textId="77777777" w:rsidR="000B6095" w:rsidRPr="002740E1" w:rsidRDefault="000B6095" w:rsidP="002740E1">
            <w:pPr>
              <w:pStyle w:val="References"/>
              <w:numPr>
                <w:ilvl w:val="0"/>
                <w:numId w:val="0"/>
              </w:numPr>
              <w:rPr>
                <w:sz w:val="20"/>
                <w:szCs w:val="20"/>
              </w:rPr>
            </w:pPr>
            <w:r w:rsidRPr="002740E1">
              <w:rPr>
                <w:sz w:val="20"/>
                <w:szCs w:val="20"/>
              </w:rPr>
              <w:t>:</w:t>
            </w:r>
          </w:p>
        </w:tc>
        <w:tc>
          <w:tcPr>
            <w:tcW w:w="3680" w:type="pct"/>
          </w:tcPr>
          <w:p w14:paraId="3592F430" w14:textId="593E98FB" w:rsidR="000B6095" w:rsidRPr="002740E1" w:rsidRDefault="00654B52" w:rsidP="002740E1">
            <w:pPr>
              <w:pStyle w:val="References"/>
              <w:numPr>
                <w:ilvl w:val="0"/>
                <w:numId w:val="0"/>
              </w:numPr>
              <w:rPr>
                <w:sz w:val="20"/>
                <w:szCs w:val="20"/>
              </w:rPr>
            </w:pPr>
            <w:r w:rsidRPr="00654B52">
              <w:rPr>
                <w:sz w:val="20"/>
                <w:szCs w:val="20"/>
              </w:rPr>
              <w:t>No additional information is available for this paper</w:t>
            </w:r>
            <w:r w:rsidR="000B6095" w:rsidRPr="002740E1">
              <w:rPr>
                <w:sz w:val="20"/>
                <w:szCs w:val="20"/>
              </w:rPr>
              <w:t>.</w:t>
            </w:r>
            <w:r w:rsidR="003D5236">
              <w:rPr>
                <w:sz w:val="20"/>
                <w:szCs w:val="20"/>
              </w:rPr>
              <w:t xml:space="preserve"> </w:t>
            </w:r>
            <w:r w:rsidR="003D5236" w:rsidRPr="003D5236">
              <w:rPr>
                <w:sz w:val="20"/>
                <w:szCs w:val="20"/>
              </w:rPr>
              <w:t>We confirm that this authorship correction is solely due to an administrative error during submission and does not involve any authorship dispute. All authors have agreed to this change, and it does not affect the scientific content of the manuscript</w:t>
            </w:r>
            <w:r w:rsidR="003D5236">
              <w:rPr>
                <w:sz w:val="20"/>
                <w:szCs w:val="20"/>
              </w:rPr>
              <w:t>.</w:t>
            </w:r>
          </w:p>
        </w:tc>
      </w:tr>
    </w:tbl>
    <w:p w14:paraId="5E071664" w14:textId="77777777" w:rsidR="000B6095" w:rsidRPr="000B6095" w:rsidRDefault="000B6095" w:rsidP="002740E1">
      <w:pPr>
        <w:pStyle w:val="9Paragraph0"/>
      </w:pPr>
    </w:p>
    <w:sectPr w:rsidR="000B6095" w:rsidRPr="000B6095" w:rsidSect="00654B52">
      <w:type w:val="continuous"/>
      <w:pgSz w:w="11906" w:h="16838" w:code="9"/>
      <w:pgMar w:top="1701" w:right="1418" w:bottom="1418" w:left="1701" w:header="720" w:footer="339" w:gutter="0"/>
      <w:pgNumType w:start="104"/>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3861" w14:textId="77777777" w:rsidR="002042C7" w:rsidRDefault="002042C7" w:rsidP="00630D70">
      <w:r>
        <w:separator/>
      </w:r>
    </w:p>
    <w:p w14:paraId="2E7F84E8" w14:textId="77777777" w:rsidR="002042C7" w:rsidRDefault="002042C7" w:rsidP="00630D70"/>
  </w:endnote>
  <w:endnote w:type="continuationSeparator" w:id="0">
    <w:p w14:paraId="2C4B24A1" w14:textId="77777777" w:rsidR="002042C7" w:rsidRDefault="002042C7" w:rsidP="00630D70">
      <w:r>
        <w:continuationSeparator/>
      </w:r>
    </w:p>
    <w:p w14:paraId="59C9008A" w14:textId="77777777" w:rsidR="002042C7" w:rsidRDefault="002042C7" w:rsidP="00630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sariv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351366"/>
      <w:docPartObj>
        <w:docPartGallery w:val="Page Numbers (Bottom of Page)"/>
        <w:docPartUnique/>
      </w:docPartObj>
    </w:sdtPr>
    <w:sdtEndPr>
      <w:rPr>
        <w:noProof/>
      </w:rPr>
    </w:sdtEndPr>
    <w:sdtContent>
      <w:p w14:paraId="7D8724C2" w14:textId="6A3D8233" w:rsidR="0045275C" w:rsidRPr="0045275C" w:rsidRDefault="0045275C" w:rsidP="00630D70">
        <w:pPr>
          <w:pStyle w:val="Footer"/>
        </w:pPr>
        <w:r w:rsidRPr="0045275C">
          <w:fldChar w:fldCharType="begin"/>
        </w:r>
        <w:r w:rsidRPr="0045275C">
          <w:instrText xml:space="preserve"> PAGE   \* MERGEFORMAT </w:instrText>
        </w:r>
        <w:r w:rsidRPr="0045275C">
          <w:fldChar w:fldCharType="separate"/>
        </w:r>
        <w:r w:rsidRPr="0045275C">
          <w:rPr>
            <w:noProof/>
          </w:rPr>
          <w:t>2</w:t>
        </w:r>
        <w:r w:rsidRPr="0045275C">
          <w:rPr>
            <w:noProof/>
          </w:rPr>
          <w:fldChar w:fldCharType="end"/>
        </w:r>
      </w:p>
    </w:sdtContent>
  </w:sdt>
  <w:p w14:paraId="12C4147A" w14:textId="77777777" w:rsidR="0045275C" w:rsidRDefault="0045275C" w:rsidP="00630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2295"/>
    </w:tblGrid>
    <w:tr w:rsidR="0048313E" w:rsidRPr="004178B6" w14:paraId="4814A427" w14:textId="77777777" w:rsidTr="001B4FA6">
      <w:tc>
        <w:tcPr>
          <w:tcW w:w="3247" w:type="dxa"/>
        </w:tcPr>
        <w:p w14:paraId="5DCD5D63" w14:textId="0E5DDC28" w:rsidR="0048313E" w:rsidRPr="001B4FA6" w:rsidRDefault="006B6E17" w:rsidP="001B4FA6">
          <w:pPr>
            <w:pStyle w:val="Footer"/>
            <w:spacing w:before="0"/>
            <w:jc w:val="left"/>
            <w:rPr>
              <w:rFonts w:asciiTheme="majorBidi" w:hAnsiTheme="majorBidi" w:cstheme="majorBidi"/>
              <w:bCs/>
              <w:color w:val="auto"/>
              <w:sz w:val="20"/>
              <w:szCs w:val="20"/>
            </w:rPr>
          </w:pPr>
          <w:r w:rsidRPr="001B4FA6">
            <w:rPr>
              <w:rFonts w:asciiTheme="majorBidi" w:hAnsiTheme="majorBidi" w:cstheme="majorBidi"/>
              <w:color w:val="000000"/>
              <w:sz w:val="20"/>
              <w:szCs w:val="20"/>
            </w:rPr>
            <w:t>DOI</w:t>
          </w:r>
          <w:r w:rsidRPr="001B4FA6">
            <w:rPr>
              <w:rFonts w:asciiTheme="majorBidi" w:hAnsiTheme="majorBidi" w:cstheme="majorBidi"/>
              <w:bCs/>
              <w:color w:val="000000"/>
              <w:sz w:val="20"/>
              <w:szCs w:val="20"/>
            </w:rPr>
            <w:t xml:space="preserve">: </w:t>
          </w:r>
          <w:hyperlink r:id="rId1" w:history="1">
            <w:r w:rsidRPr="001B4FA6">
              <w:rPr>
                <w:rStyle w:val="Hyperlink"/>
                <w:rFonts w:asciiTheme="majorBidi" w:hAnsiTheme="majorBidi" w:cstheme="majorBidi"/>
                <w:b w:val="0"/>
                <w:bCs/>
                <w:sz w:val="20"/>
                <w:szCs w:val="20"/>
              </w:rPr>
              <w:t>10.58185/jkr.v1</w:t>
            </w:r>
            <w:r w:rsidR="00654B52">
              <w:rPr>
                <w:rStyle w:val="Hyperlink"/>
                <w:rFonts w:asciiTheme="majorBidi" w:hAnsiTheme="majorBidi" w:cstheme="majorBidi"/>
                <w:b w:val="0"/>
                <w:bCs/>
                <w:sz w:val="20"/>
                <w:szCs w:val="20"/>
              </w:rPr>
              <w:t>6</w:t>
            </w:r>
            <w:r w:rsidRPr="001B4FA6">
              <w:rPr>
                <w:rStyle w:val="Hyperlink"/>
                <w:rFonts w:asciiTheme="majorBidi" w:hAnsiTheme="majorBidi" w:cstheme="majorBidi"/>
                <w:b w:val="0"/>
                <w:bCs/>
                <w:sz w:val="20"/>
                <w:szCs w:val="20"/>
              </w:rPr>
              <w:t>i</w:t>
            </w:r>
            <w:r w:rsidR="00654B52">
              <w:rPr>
                <w:rStyle w:val="Hyperlink"/>
                <w:rFonts w:asciiTheme="majorBidi" w:hAnsiTheme="majorBidi" w:cstheme="majorBidi"/>
                <w:b w:val="0"/>
                <w:bCs/>
                <w:sz w:val="20"/>
                <w:szCs w:val="20"/>
              </w:rPr>
              <w:t>2</w:t>
            </w:r>
            <w:r w:rsidRPr="001B4FA6">
              <w:rPr>
                <w:rStyle w:val="Hyperlink"/>
                <w:rFonts w:asciiTheme="majorBidi" w:hAnsiTheme="majorBidi" w:cstheme="majorBidi"/>
                <w:b w:val="0"/>
                <w:bCs/>
                <w:sz w:val="20"/>
                <w:szCs w:val="20"/>
              </w:rPr>
              <w:t>.</w:t>
            </w:r>
            <w:r w:rsidR="00654B52">
              <w:rPr>
                <w:rStyle w:val="Hyperlink"/>
                <w:rFonts w:asciiTheme="majorBidi" w:hAnsiTheme="majorBidi" w:cstheme="majorBidi"/>
                <w:b w:val="0"/>
                <w:bCs/>
                <w:sz w:val="20"/>
                <w:szCs w:val="20"/>
              </w:rPr>
              <w:t>396</w:t>
            </w:r>
          </w:hyperlink>
          <w:r w:rsidRPr="001B4FA6">
            <w:rPr>
              <w:rFonts w:asciiTheme="majorBidi" w:hAnsiTheme="majorBidi" w:cstheme="majorBidi"/>
              <w:bCs/>
              <w:color w:val="000000"/>
              <w:sz w:val="20"/>
              <w:szCs w:val="20"/>
            </w:rPr>
            <w:br/>
          </w:r>
          <w:r w:rsidRPr="001B4FA6">
            <w:rPr>
              <w:rStyle w:val="fontstyle21"/>
              <w:rFonts w:asciiTheme="majorBidi" w:hAnsiTheme="majorBidi" w:cstheme="majorBidi"/>
              <w:sz w:val="20"/>
              <w:szCs w:val="20"/>
            </w:rPr>
            <w:t>ISSN</w:t>
          </w:r>
          <w:r w:rsidRPr="001B4FA6">
            <w:rPr>
              <w:rStyle w:val="fontstyle21"/>
              <w:rFonts w:asciiTheme="majorBidi" w:hAnsiTheme="majorBidi" w:cstheme="majorBidi"/>
              <w:b w:val="0"/>
              <w:bCs/>
              <w:sz w:val="20"/>
              <w:szCs w:val="20"/>
            </w:rPr>
            <w:t xml:space="preserve">: </w:t>
          </w:r>
          <w:hyperlink r:id="rId2" w:history="1">
            <w:r w:rsidRPr="001B4FA6">
              <w:rPr>
                <w:rStyle w:val="Hyperlink"/>
                <w:rFonts w:asciiTheme="majorBidi" w:hAnsiTheme="majorBidi" w:cstheme="majorBidi"/>
                <w:b w:val="0"/>
                <w:bCs/>
                <w:sz w:val="20"/>
                <w:szCs w:val="20"/>
              </w:rPr>
              <w:t>2354-8762</w:t>
            </w:r>
          </w:hyperlink>
          <w:r w:rsidRPr="001B4FA6">
            <w:rPr>
              <w:rStyle w:val="fontstyle21"/>
              <w:rFonts w:asciiTheme="majorBidi" w:hAnsiTheme="majorBidi" w:cstheme="majorBidi"/>
              <w:b w:val="0"/>
              <w:bCs/>
              <w:sz w:val="20"/>
              <w:szCs w:val="20"/>
            </w:rPr>
            <w:t xml:space="preserve"> (Online)</w:t>
          </w:r>
        </w:p>
      </w:tc>
      <w:tc>
        <w:tcPr>
          <w:tcW w:w="3247" w:type="dxa"/>
        </w:tcPr>
        <w:p w14:paraId="2A848159" w14:textId="77777777" w:rsidR="0048313E" w:rsidRPr="004178B6" w:rsidRDefault="0048313E" w:rsidP="00630D70">
          <w:pPr>
            <w:pStyle w:val="Footer"/>
          </w:pPr>
        </w:p>
      </w:tc>
      <w:tc>
        <w:tcPr>
          <w:tcW w:w="2295" w:type="dxa"/>
        </w:tcPr>
        <w:sdt>
          <w:sdtPr>
            <w:id w:val="1792942897"/>
            <w:docPartObj>
              <w:docPartGallery w:val="Page Numbers (Bottom of Page)"/>
              <w:docPartUnique/>
            </w:docPartObj>
          </w:sdtPr>
          <w:sdtEndPr>
            <w:rPr>
              <w:b w:val="0"/>
              <w:bCs/>
              <w:noProof/>
              <w:color w:val="auto"/>
              <w:sz w:val="20"/>
              <w:szCs w:val="20"/>
            </w:rPr>
          </w:sdtEndPr>
          <w:sdtContent>
            <w:p w14:paraId="3862F9C4" w14:textId="36DD1C73" w:rsidR="0048313E" w:rsidRPr="004178B6" w:rsidRDefault="0048313E" w:rsidP="001B4FA6">
              <w:pPr>
                <w:pStyle w:val="Footer"/>
                <w:jc w:val="right"/>
                <w:rPr>
                  <w:noProof/>
                </w:rPr>
              </w:pPr>
              <w:r w:rsidRPr="001B4FA6">
                <w:rPr>
                  <w:b w:val="0"/>
                  <w:bCs/>
                  <w:color w:val="auto"/>
                  <w:sz w:val="20"/>
                  <w:szCs w:val="20"/>
                </w:rPr>
                <w:fldChar w:fldCharType="begin"/>
              </w:r>
              <w:r w:rsidRPr="001B4FA6">
                <w:rPr>
                  <w:b w:val="0"/>
                  <w:bCs/>
                  <w:color w:val="auto"/>
                  <w:sz w:val="20"/>
                  <w:szCs w:val="20"/>
                </w:rPr>
                <w:instrText xml:space="preserve"> PAGE   \* MERGEFORMAT </w:instrText>
              </w:r>
              <w:r w:rsidRPr="001B4FA6">
                <w:rPr>
                  <w:b w:val="0"/>
                  <w:bCs/>
                  <w:color w:val="auto"/>
                  <w:sz w:val="20"/>
                  <w:szCs w:val="20"/>
                </w:rPr>
                <w:fldChar w:fldCharType="separate"/>
              </w:r>
              <w:r w:rsidRPr="001B4FA6">
                <w:rPr>
                  <w:b w:val="0"/>
                  <w:bCs/>
                  <w:color w:val="auto"/>
                  <w:sz w:val="20"/>
                  <w:szCs w:val="20"/>
                </w:rPr>
                <w:t>2</w:t>
              </w:r>
              <w:r w:rsidRPr="001B4FA6">
                <w:rPr>
                  <w:b w:val="0"/>
                  <w:bCs/>
                  <w:noProof/>
                  <w:color w:val="auto"/>
                  <w:sz w:val="20"/>
                  <w:szCs w:val="20"/>
                </w:rPr>
                <w:fldChar w:fldCharType="end"/>
              </w:r>
            </w:p>
          </w:sdtContent>
        </w:sdt>
      </w:tc>
    </w:tr>
  </w:tbl>
  <w:p w14:paraId="55B5BA9B" w14:textId="77777777" w:rsidR="0048313E" w:rsidRPr="0048313E" w:rsidRDefault="0048313E" w:rsidP="00630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3917"/>
    </w:tblGrid>
    <w:tr w:rsidR="00504C82" w:rsidRPr="004178B6" w14:paraId="598F4940" w14:textId="77777777" w:rsidTr="001B4FA6">
      <w:tc>
        <w:tcPr>
          <w:tcW w:w="2771" w:type="pct"/>
        </w:tcPr>
        <w:p w14:paraId="5C72447E" w14:textId="7D1BC6CA" w:rsidR="00504C82" w:rsidRPr="001B4FA6" w:rsidRDefault="005133F6" w:rsidP="001B4FA6">
          <w:pPr>
            <w:pStyle w:val="Footer"/>
            <w:jc w:val="left"/>
            <w:rPr>
              <w:rFonts w:asciiTheme="majorBidi" w:hAnsiTheme="majorBidi" w:cstheme="majorBidi"/>
              <w:bCs/>
              <w:sz w:val="20"/>
              <w:szCs w:val="20"/>
            </w:rPr>
          </w:pPr>
          <w:hyperlink r:id="rId1" w:history="1">
            <w:r w:rsidRPr="001B4FA6">
              <w:rPr>
                <w:rStyle w:val="Hyperlink"/>
                <w:rFonts w:asciiTheme="majorBidi" w:hAnsiTheme="majorBidi" w:cstheme="majorBidi"/>
                <w:b w:val="0"/>
                <w:bCs/>
                <w:sz w:val="20"/>
                <w:szCs w:val="20"/>
              </w:rPr>
              <w:t>http://journaliakmitangsel2.iakmi.or.id</w:t>
            </w:r>
          </w:hyperlink>
          <w:r w:rsidRPr="001B4FA6">
            <w:rPr>
              <w:rStyle w:val="fontstyle21"/>
              <w:rFonts w:asciiTheme="majorBidi" w:hAnsiTheme="majorBidi" w:cstheme="majorBidi"/>
              <w:b w:val="0"/>
              <w:bCs/>
              <w:sz w:val="20"/>
              <w:szCs w:val="20"/>
            </w:rPr>
            <w:t xml:space="preserve"> </w:t>
          </w:r>
        </w:p>
      </w:tc>
      <w:tc>
        <w:tcPr>
          <w:tcW w:w="2229" w:type="pct"/>
        </w:tcPr>
        <w:p w14:paraId="26BA710A" w14:textId="371FD8B5" w:rsidR="00504C82" w:rsidRPr="004178B6" w:rsidRDefault="00504C82" w:rsidP="001B4FA6">
          <w:pPr>
            <w:pStyle w:val="Footer"/>
            <w:jc w:val="right"/>
            <w:rPr>
              <w:iCs/>
            </w:rPr>
          </w:pPr>
          <w:r w:rsidRPr="004178B6">
            <w:rPr>
              <w:rStyle w:val="fontstyle21"/>
              <w:rFonts w:asciiTheme="majorBidi" w:hAnsiTheme="majorBidi" w:cstheme="majorBidi"/>
              <w:b w:val="0"/>
              <w:bCs/>
              <w:iCs/>
              <w:sz w:val="20"/>
              <w:szCs w:val="20"/>
            </w:rPr>
            <w:t>Email</w:t>
          </w:r>
          <w:r w:rsidRPr="001B4FA6">
            <w:rPr>
              <w:rStyle w:val="fontstyle21"/>
              <w:rFonts w:asciiTheme="majorBidi" w:hAnsiTheme="majorBidi" w:cstheme="majorBidi"/>
              <w:b w:val="0"/>
              <w:bCs/>
              <w:iCs/>
              <w:sz w:val="20"/>
              <w:szCs w:val="20"/>
            </w:rPr>
            <w:t xml:space="preserve">: </w:t>
          </w:r>
          <w:r w:rsidR="00550B24" w:rsidRPr="001B4FA6">
            <w:rPr>
              <w:rStyle w:val="fontstyle21"/>
              <w:rFonts w:asciiTheme="majorBidi" w:hAnsiTheme="majorBidi" w:cstheme="majorBidi"/>
              <w:b w:val="0"/>
              <w:bCs/>
              <w:iCs/>
              <w:sz w:val="20"/>
              <w:szCs w:val="20"/>
            </w:rPr>
            <w:t>jkesproiakmi@gmail.com</w:t>
          </w:r>
        </w:p>
      </w:tc>
    </w:tr>
  </w:tbl>
  <w:p w14:paraId="099C0D11" w14:textId="77777777" w:rsidR="00504C82" w:rsidRDefault="00504C82" w:rsidP="00630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96CD" w14:textId="77777777" w:rsidR="002042C7" w:rsidRDefault="002042C7" w:rsidP="00630D70">
      <w:r>
        <w:separator/>
      </w:r>
    </w:p>
    <w:p w14:paraId="636FFE67" w14:textId="77777777" w:rsidR="002042C7" w:rsidRDefault="002042C7" w:rsidP="00630D70"/>
  </w:footnote>
  <w:footnote w:type="continuationSeparator" w:id="0">
    <w:p w14:paraId="6CCF8FD1" w14:textId="77777777" w:rsidR="002042C7" w:rsidRDefault="002042C7" w:rsidP="00630D70">
      <w:r>
        <w:continuationSeparator/>
      </w:r>
    </w:p>
    <w:p w14:paraId="71CD2CB3" w14:textId="77777777" w:rsidR="002042C7" w:rsidRDefault="002042C7" w:rsidP="00630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835"/>
    </w:tblGrid>
    <w:tr w:rsidR="0048313E" w:rsidRPr="004178B6" w14:paraId="330CE26D" w14:textId="77777777" w:rsidTr="001B4FA6">
      <w:tc>
        <w:tcPr>
          <w:tcW w:w="5954" w:type="dxa"/>
        </w:tcPr>
        <w:p w14:paraId="57C18AB7" w14:textId="3B7D063D" w:rsidR="0048313E" w:rsidRPr="001B4FA6" w:rsidRDefault="00A858AE" w:rsidP="001B4FA6">
          <w:pPr>
            <w:pStyle w:val="Header"/>
            <w:jc w:val="left"/>
            <w:rPr>
              <w:rFonts w:asciiTheme="majorBidi" w:hAnsiTheme="majorBidi" w:cstheme="majorBidi"/>
              <w:sz w:val="20"/>
              <w:szCs w:val="20"/>
            </w:rPr>
          </w:pPr>
          <w:r>
            <w:rPr>
              <w:rFonts w:asciiTheme="majorBidi" w:hAnsiTheme="majorBidi" w:cstheme="majorBidi"/>
              <w:sz w:val="20"/>
              <w:szCs w:val="20"/>
            </w:rPr>
            <w:t>Dewi</w:t>
          </w:r>
          <w:r w:rsidR="0048313E" w:rsidRPr="001B4FA6">
            <w:rPr>
              <w:rFonts w:asciiTheme="majorBidi" w:hAnsiTheme="majorBidi" w:cstheme="majorBidi"/>
              <w:sz w:val="20"/>
              <w:szCs w:val="20"/>
            </w:rPr>
            <w:t xml:space="preserve">, </w:t>
          </w:r>
          <w:r w:rsidR="0048313E" w:rsidRPr="001B4FA6">
            <w:rPr>
              <w:rFonts w:asciiTheme="majorBidi" w:hAnsiTheme="majorBidi" w:cstheme="majorBidi"/>
              <w:i/>
              <w:iCs/>
              <w:sz w:val="20"/>
              <w:szCs w:val="20"/>
            </w:rPr>
            <w:t>et al.</w:t>
          </w:r>
          <w:r w:rsidR="0048313E" w:rsidRPr="001B4FA6">
            <w:rPr>
              <w:rFonts w:asciiTheme="majorBidi" w:hAnsiTheme="majorBidi" w:cstheme="majorBidi"/>
              <w:sz w:val="20"/>
              <w:szCs w:val="20"/>
            </w:rPr>
            <w:t xml:space="preserve">: </w:t>
          </w:r>
          <w:r>
            <w:rPr>
              <w:rFonts w:asciiTheme="majorBidi" w:hAnsiTheme="majorBidi" w:cstheme="majorBidi"/>
              <w:sz w:val="20"/>
              <w:szCs w:val="20"/>
            </w:rPr>
            <w:t>Self-efficacy based self-care education…</w:t>
          </w:r>
        </w:p>
      </w:tc>
      <w:tc>
        <w:tcPr>
          <w:tcW w:w="2835" w:type="dxa"/>
        </w:tcPr>
        <w:p w14:paraId="36F368EB" w14:textId="32478259" w:rsidR="0048313E" w:rsidRPr="00A858AE" w:rsidRDefault="00550B24" w:rsidP="001B4FA6">
          <w:pPr>
            <w:pStyle w:val="Header"/>
            <w:jc w:val="right"/>
          </w:pPr>
          <w:r w:rsidRPr="00A858AE">
            <w:rPr>
              <w:rStyle w:val="fontstyle01"/>
              <w:rFonts w:asciiTheme="majorBidi" w:hAnsiTheme="majorBidi" w:cstheme="majorBidi"/>
              <w:sz w:val="20"/>
              <w:szCs w:val="20"/>
            </w:rPr>
            <w:t>Jurnal Kesehatan Reproduksi</w:t>
          </w:r>
          <w:r w:rsidR="0048313E" w:rsidRPr="00A858AE">
            <w:rPr>
              <w:rStyle w:val="fontstyle01"/>
              <w:rFonts w:asciiTheme="majorBidi" w:hAnsiTheme="majorBidi" w:cstheme="majorBidi"/>
              <w:sz w:val="20"/>
              <w:szCs w:val="20"/>
            </w:rPr>
            <w:br/>
          </w:r>
          <w:r w:rsidR="00A858AE" w:rsidRPr="00A858AE">
            <w:rPr>
              <w:rStyle w:val="fontstyle21"/>
              <w:rFonts w:asciiTheme="majorBidi" w:hAnsiTheme="majorBidi" w:cstheme="majorBidi"/>
              <w:b w:val="0"/>
              <w:bCs/>
              <w:sz w:val="20"/>
              <w:szCs w:val="20"/>
            </w:rPr>
            <w:t>December</w:t>
          </w:r>
          <w:r w:rsidR="0048313E" w:rsidRPr="00A858AE">
            <w:rPr>
              <w:rStyle w:val="fontstyle21"/>
              <w:rFonts w:asciiTheme="majorBidi" w:hAnsiTheme="majorBidi" w:cstheme="majorBidi"/>
              <w:b w:val="0"/>
              <w:bCs/>
              <w:sz w:val="20"/>
              <w:szCs w:val="20"/>
            </w:rPr>
            <w:t xml:space="preserve"> 202</w:t>
          </w:r>
          <w:r w:rsidR="00A858AE" w:rsidRPr="00A858AE">
            <w:rPr>
              <w:rStyle w:val="fontstyle21"/>
              <w:rFonts w:asciiTheme="majorBidi" w:hAnsiTheme="majorBidi" w:cstheme="majorBidi"/>
              <w:b w:val="0"/>
              <w:bCs/>
              <w:sz w:val="20"/>
              <w:szCs w:val="20"/>
            </w:rPr>
            <w:t>5</w:t>
          </w:r>
          <w:r w:rsidR="0048313E" w:rsidRPr="00A858AE">
            <w:rPr>
              <w:rStyle w:val="fontstyle21"/>
              <w:rFonts w:asciiTheme="majorBidi" w:hAnsiTheme="majorBidi" w:cstheme="majorBidi"/>
              <w:b w:val="0"/>
              <w:bCs/>
              <w:sz w:val="20"/>
              <w:szCs w:val="20"/>
            </w:rPr>
            <w:t xml:space="preserve">; </w:t>
          </w:r>
          <w:r w:rsidRPr="00A858AE">
            <w:rPr>
              <w:rStyle w:val="fontstyle21"/>
              <w:rFonts w:asciiTheme="majorBidi" w:hAnsiTheme="majorBidi" w:cstheme="majorBidi"/>
              <w:b w:val="0"/>
              <w:bCs/>
              <w:sz w:val="20"/>
              <w:szCs w:val="20"/>
            </w:rPr>
            <w:t>1</w:t>
          </w:r>
          <w:r w:rsidR="00A858AE" w:rsidRPr="00A858AE">
            <w:rPr>
              <w:rStyle w:val="fontstyle21"/>
              <w:rFonts w:asciiTheme="majorBidi" w:hAnsiTheme="majorBidi" w:cstheme="majorBidi"/>
              <w:b w:val="0"/>
              <w:bCs/>
              <w:sz w:val="20"/>
              <w:szCs w:val="20"/>
            </w:rPr>
            <w:t>6</w:t>
          </w:r>
          <w:r w:rsidR="0048313E" w:rsidRPr="00A858AE">
            <w:rPr>
              <w:rStyle w:val="fontstyle21"/>
              <w:rFonts w:asciiTheme="majorBidi" w:hAnsiTheme="majorBidi" w:cstheme="majorBidi"/>
              <w:b w:val="0"/>
              <w:bCs/>
              <w:sz w:val="20"/>
              <w:szCs w:val="20"/>
            </w:rPr>
            <w:t>(</w:t>
          </w:r>
          <w:r w:rsidR="00A858AE" w:rsidRPr="00A858AE">
            <w:rPr>
              <w:rStyle w:val="fontstyle21"/>
              <w:rFonts w:asciiTheme="majorBidi" w:hAnsiTheme="majorBidi" w:cstheme="majorBidi"/>
              <w:b w:val="0"/>
              <w:bCs/>
              <w:sz w:val="20"/>
              <w:szCs w:val="20"/>
            </w:rPr>
            <w:t>2</w:t>
          </w:r>
          <w:r w:rsidR="0048313E" w:rsidRPr="00A858AE">
            <w:rPr>
              <w:rStyle w:val="fontstyle21"/>
              <w:rFonts w:asciiTheme="majorBidi" w:hAnsiTheme="majorBidi" w:cstheme="majorBidi"/>
              <w:b w:val="0"/>
              <w:bCs/>
              <w:sz w:val="20"/>
              <w:szCs w:val="20"/>
            </w:rPr>
            <w:t xml:space="preserve">): </w:t>
          </w:r>
          <w:r w:rsidR="00A858AE" w:rsidRPr="00A858AE">
            <w:rPr>
              <w:rStyle w:val="fontstyle21"/>
              <w:rFonts w:asciiTheme="majorBidi" w:hAnsiTheme="majorBidi" w:cstheme="majorBidi"/>
              <w:b w:val="0"/>
              <w:bCs/>
              <w:sz w:val="20"/>
              <w:szCs w:val="20"/>
            </w:rPr>
            <w:t>104</w:t>
          </w:r>
          <w:r w:rsidR="0048313E" w:rsidRPr="00A858AE">
            <w:rPr>
              <w:rStyle w:val="fontstyle21"/>
              <w:rFonts w:asciiTheme="majorBidi" w:hAnsiTheme="majorBidi" w:cstheme="majorBidi"/>
              <w:b w:val="0"/>
              <w:bCs/>
              <w:sz w:val="20"/>
              <w:szCs w:val="20"/>
            </w:rPr>
            <w:t>-</w:t>
          </w:r>
          <w:r w:rsidR="00654B52">
            <w:rPr>
              <w:rStyle w:val="fontstyle21"/>
              <w:rFonts w:asciiTheme="majorBidi" w:hAnsiTheme="majorBidi" w:cstheme="majorBidi"/>
              <w:b w:val="0"/>
              <w:bCs/>
              <w:sz w:val="20"/>
              <w:szCs w:val="20"/>
            </w:rPr>
            <w:t>119</w:t>
          </w:r>
        </w:p>
      </w:tc>
    </w:tr>
  </w:tbl>
  <w:p w14:paraId="7AD397EC" w14:textId="77777777" w:rsidR="0048313E" w:rsidRPr="00A73403" w:rsidRDefault="0048313E" w:rsidP="00A73403">
    <w:pPr>
      <w:pStyle w:val="Header"/>
      <w:jc w:val="both"/>
      <w:rPr>
        <w:sz w:val="12"/>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8" w:type="dxa"/>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535"/>
    </w:tblGrid>
    <w:tr w:rsidR="00630D70" w:rsidRPr="004178B6" w14:paraId="54F9E67C" w14:textId="6A197DD6" w:rsidTr="00151588">
      <w:trPr>
        <w:trHeight w:val="1249"/>
      </w:trPr>
      <w:tc>
        <w:tcPr>
          <w:tcW w:w="1701" w:type="dxa"/>
        </w:tcPr>
        <w:p w14:paraId="746800F6" w14:textId="5DFF7E11" w:rsidR="0050375E" w:rsidRPr="004178B6" w:rsidRDefault="002122ED" w:rsidP="00151588">
          <w:pPr>
            <w:pStyle w:val="Header"/>
            <w:spacing w:before="0"/>
            <w:rPr>
              <w:rFonts w:asciiTheme="majorBidi" w:hAnsiTheme="majorBidi" w:cstheme="majorBidi"/>
            </w:rPr>
          </w:pPr>
          <w:r>
            <w:rPr>
              <w:noProof/>
            </w:rPr>
            <w:drawing>
              <wp:inline distT="0" distB="0" distL="0" distR="0" wp14:anchorId="2D944411" wp14:editId="2C041D9D">
                <wp:extent cx="648000" cy="828000"/>
                <wp:effectExtent l="0" t="0" r="0" b="0"/>
                <wp:docPr id="16731791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828000"/>
                        </a:xfrm>
                        <a:prstGeom prst="rect">
                          <a:avLst/>
                        </a:prstGeom>
                        <a:noFill/>
                        <a:ln>
                          <a:noFill/>
                        </a:ln>
                      </pic:spPr>
                    </pic:pic>
                  </a:graphicData>
                </a:graphic>
              </wp:inline>
            </w:drawing>
          </w:r>
        </w:p>
      </w:tc>
      <w:tc>
        <w:tcPr>
          <w:tcW w:w="5812" w:type="dxa"/>
          <w:vAlign w:val="center"/>
        </w:tcPr>
        <w:p w14:paraId="783DEE14" w14:textId="24F45FEF" w:rsidR="002E15EE" w:rsidRPr="002E15EE" w:rsidRDefault="002E15EE" w:rsidP="002E15EE">
          <w:pPr>
            <w:pBdr>
              <w:top w:val="nil"/>
              <w:left w:val="nil"/>
              <w:bottom w:val="nil"/>
              <w:right w:val="nil"/>
              <w:between w:val="nil"/>
            </w:pBdr>
            <w:tabs>
              <w:tab w:val="center" w:pos="4513"/>
              <w:tab w:val="right" w:pos="9026"/>
            </w:tabs>
            <w:spacing w:before="0" w:after="0"/>
            <w:rPr>
              <w:rFonts w:eastAsia="Times New Roman" w:cs="Times New Roman"/>
              <w:b w:val="0"/>
              <w:bCs/>
              <w:color w:val="000000"/>
              <w:sz w:val="18"/>
              <w:szCs w:val="18"/>
              <w:lang w:val="en-AU"/>
            </w:rPr>
          </w:pPr>
          <w:r w:rsidRPr="002E15EE">
            <w:rPr>
              <w:rFonts w:eastAsia="Times New Roman" w:cs="Times New Roman"/>
              <w:b w:val="0"/>
              <w:bCs/>
              <w:color w:val="000000"/>
              <w:sz w:val="18"/>
              <w:szCs w:val="18"/>
              <w:lang w:val="en-AU"/>
            </w:rPr>
            <w:t xml:space="preserve">December 2025; 16(2): </w:t>
          </w:r>
          <w:r w:rsidR="007C6D88">
            <w:rPr>
              <w:rFonts w:eastAsia="Times New Roman" w:cs="Times New Roman"/>
              <w:b w:val="0"/>
              <w:bCs/>
              <w:color w:val="000000"/>
              <w:sz w:val="18"/>
              <w:szCs w:val="18"/>
              <w:lang w:val="en-AU"/>
            </w:rPr>
            <w:t>104</w:t>
          </w:r>
          <w:r w:rsidRPr="002E15EE">
            <w:rPr>
              <w:rFonts w:eastAsia="Times New Roman" w:cs="Times New Roman"/>
              <w:b w:val="0"/>
              <w:bCs/>
              <w:color w:val="000000"/>
              <w:sz w:val="18"/>
              <w:szCs w:val="18"/>
              <w:lang w:val="en-AU"/>
            </w:rPr>
            <w:t>-</w:t>
          </w:r>
          <w:r w:rsidR="00654B52">
            <w:rPr>
              <w:rFonts w:eastAsia="Times New Roman" w:cs="Times New Roman"/>
              <w:b w:val="0"/>
              <w:bCs/>
              <w:color w:val="000000"/>
              <w:sz w:val="18"/>
              <w:szCs w:val="18"/>
              <w:lang w:val="en-AU"/>
            </w:rPr>
            <w:t>1</w:t>
          </w:r>
          <w:r w:rsidR="00654B52" w:rsidRPr="00654B52">
            <w:rPr>
              <w:rFonts w:eastAsia="Times New Roman" w:cs="Times New Roman"/>
              <w:b w:val="0"/>
              <w:bCs/>
              <w:color w:val="000000"/>
              <w:sz w:val="18"/>
              <w:szCs w:val="18"/>
              <w:lang w:val="en-AU"/>
            </w:rPr>
            <w:t>19</w:t>
          </w:r>
        </w:p>
        <w:p w14:paraId="7AE3681C" w14:textId="0AD985A7" w:rsidR="002E15EE" w:rsidRPr="002E15EE" w:rsidRDefault="002E15EE" w:rsidP="002E15EE">
          <w:pPr>
            <w:pBdr>
              <w:top w:val="nil"/>
              <w:left w:val="nil"/>
              <w:bottom w:val="nil"/>
              <w:right w:val="nil"/>
              <w:between w:val="nil"/>
            </w:pBdr>
            <w:tabs>
              <w:tab w:val="center" w:pos="4513"/>
              <w:tab w:val="right" w:pos="9026"/>
            </w:tabs>
            <w:spacing w:before="0" w:after="0"/>
            <w:rPr>
              <w:rFonts w:eastAsia="Times New Roman" w:cs="Times New Roman"/>
              <w:color w:val="000000"/>
              <w:sz w:val="18"/>
              <w:szCs w:val="18"/>
              <w:lang w:val="en-AU"/>
            </w:rPr>
          </w:pPr>
          <w:r w:rsidRPr="002E15EE">
            <w:rPr>
              <w:rFonts w:eastAsia="Candara" w:cs="Times New Roman"/>
              <w:bCs/>
              <w:color w:val="000000"/>
              <w:szCs w:val="28"/>
              <w:lang w:val="en-AU"/>
            </w:rPr>
            <w:t>Jurnal Kesehatan Reproduksi</w:t>
          </w:r>
          <w:r w:rsidRPr="002E15EE">
            <w:rPr>
              <w:rFonts w:eastAsia="Times New Roman" w:cs="Times New Roman"/>
              <w:b w:val="0"/>
              <w:color w:val="000000"/>
              <w:sz w:val="20"/>
              <w:szCs w:val="20"/>
              <w:lang w:val="en-AU"/>
            </w:rPr>
            <w:br/>
          </w:r>
          <w:r w:rsidRPr="002E15EE">
            <w:rPr>
              <w:rFonts w:eastAsia="Times New Roman" w:cs="Times New Roman"/>
              <w:b w:val="0"/>
              <w:color w:val="000000"/>
              <w:sz w:val="18"/>
              <w:szCs w:val="18"/>
              <w:lang w:val="en-AU"/>
            </w:rPr>
            <w:t xml:space="preserve">DOI: </w:t>
          </w:r>
          <w:hyperlink r:id="rId2">
            <w:r w:rsidRPr="002E15EE">
              <w:rPr>
                <w:rFonts w:eastAsia="Times New Roman" w:cs="Times New Roman"/>
                <w:b w:val="0"/>
                <w:color w:val="0563C1"/>
                <w:sz w:val="18"/>
                <w:szCs w:val="18"/>
                <w:u w:val="single"/>
                <w:lang w:val="en-AU"/>
              </w:rPr>
              <w:t>10.58185/jkr.v1</w:t>
            </w:r>
            <w:r w:rsidRPr="002E15EE">
              <w:rPr>
                <w:rFonts w:eastAsia="Times New Roman" w:cs="Times New Roman"/>
                <w:b w:val="0"/>
                <w:bCs/>
                <w:color w:val="0563C1"/>
                <w:sz w:val="18"/>
                <w:szCs w:val="18"/>
                <w:u w:val="single"/>
                <w:lang w:val="en-AU"/>
              </w:rPr>
              <w:t>6i2.39</w:t>
            </w:r>
            <w:r w:rsidR="007C6D88">
              <w:rPr>
                <w:rFonts w:eastAsia="Times New Roman" w:cs="Times New Roman"/>
                <w:b w:val="0"/>
                <w:bCs/>
                <w:color w:val="0563C1"/>
                <w:sz w:val="18"/>
                <w:szCs w:val="18"/>
                <w:u w:val="single"/>
                <w:lang w:val="en-AU"/>
              </w:rPr>
              <w:t>6</w:t>
            </w:r>
          </w:hyperlink>
          <w:r w:rsidRPr="002E15EE">
            <w:rPr>
              <w:rFonts w:eastAsia="Times New Roman" w:cs="Times New Roman"/>
              <w:b w:val="0"/>
              <w:color w:val="000000"/>
              <w:sz w:val="18"/>
              <w:szCs w:val="18"/>
              <w:lang w:val="en-AU"/>
            </w:rPr>
            <w:br/>
            <w:t xml:space="preserve">ISSN: </w:t>
          </w:r>
          <w:hyperlink r:id="rId3">
            <w:r w:rsidRPr="002E15EE">
              <w:rPr>
                <w:rFonts w:eastAsia="Times New Roman" w:cs="Times New Roman"/>
                <w:b w:val="0"/>
                <w:color w:val="0563C1"/>
                <w:sz w:val="18"/>
                <w:szCs w:val="18"/>
                <w:u w:val="single"/>
                <w:lang w:val="en-AU"/>
              </w:rPr>
              <w:t>2354-8762</w:t>
            </w:r>
          </w:hyperlink>
          <w:r w:rsidRPr="002E15EE">
            <w:rPr>
              <w:rFonts w:eastAsia="Times New Roman" w:cs="Times New Roman"/>
              <w:b w:val="0"/>
              <w:color w:val="000000"/>
              <w:sz w:val="18"/>
              <w:szCs w:val="18"/>
              <w:lang w:val="en-AU"/>
            </w:rPr>
            <w:t xml:space="preserve"> (Online)</w:t>
          </w:r>
        </w:p>
        <w:p w14:paraId="7F2E70E0" w14:textId="011DED57" w:rsidR="00151588" w:rsidRPr="00484F2F" w:rsidRDefault="002E15EE" w:rsidP="002E15EE">
          <w:pPr>
            <w:pStyle w:val="Header"/>
            <w:tabs>
              <w:tab w:val="clear" w:pos="4513"/>
            </w:tabs>
            <w:spacing w:before="0"/>
            <w:rPr>
              <w:rStyle w:val="fontstyle01"/>
              <w:rFonts w:asciiTheme="majorBidi" w:hAnsiTheme="majorBidi" w:cstheme="majorBidi"/>
              <w:b/>
              <w:bCs w:val="0"/>
            </w:rPr>
          </w:pPr>
          <w:hyperlink r:id="rId4">
            <w:r w:rsidRPr="002E15EE">
              <w:rPr>
                <w:rFonts w:eastAsia="Times New Roman" w:cs="Times New Roman"/>
                <w:b w:val="0"/>
                <w:color w:val="000000"/>
                <w:sz w:val="18"/>
                <w:szCs w:val="18"/>
                <w:lang w:val="en-AU"/>
              </w:rPr>
              <w:t>https://journaliakmitangsel2.iakmi.or.id/index.php/kespro</w:t>
            </w:r>
          </w:hyperlink>
        </w:p>
      </w:tc>
      <w:tc>
        <w:tcPr>
          <w:tcW w:w="1535" w:type="dxa"/>
          <w:vAlign w:val="center"/>
        </w:tcPr>
        <w:p w14:paraId="6EFD7D6A" w14:textId="7085D653" w:rsidR="00630D70" w:rsidRPr="004178B6" w:rsidRDefault="002122ED" w:rsidP="00151588">
          <w:pPr>
            <w:pStyle w:val="Header"/>
            <w:spacing w:before="0"/>
            <w:rPr>
              <w:rStyle w:val="fontstyle01"/>
              <w:rFonts w:asciiTheme="majorBidi" w:hAnsiTheme="majorBidi" w:cstheme="majorBidi"/>
              <w:b/>
              <w:bCs w:val="0"/>
            </w:rPr>
          </w:pPr>
          <w:r>
            <w:rPr>
              <w:rStyle w:val="Heading5Char"/>
              <w:rFonts w:asciiTheme="majorBidi" w:hAnsiTheme="majorBidi"/>
              <w:b/>
              <w:bCs/>
              <w:noProof/>
            </w:rPr>
            <w:drawing>
              <wp:inline distT="0" distB="0" distL="0" distR="0" wp14:anchorId="597C115C" wp14:editId="07B2CA92">
                <wp:extent cx="648000" cy="828000"/>
                <wp:effectExtent l="0" t="0" r="0" b="0"/>
                <wp:docPr id="196357754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00" cy="828000"/>
                        </a:xfrm>
                        <a:prstGeom prst="rect">
                          <a:avLst/>
                        </a:prstGeom>
                        <a:noFill/>
                      </pic:spPr>
                    </pic:pic>
                  </a:graphicData>
                </a:graphic>
              </wp:inline>
            </w:drawing>
          </w:r>
        </w:p>
      </w:tc>
    </w:tr>
  </w:tbl>
  <w:p w14:paraId="2C373CCD" w14:textId="6B4F94EF" w:rsidR="00504C82" w:rsidRPr="0050375E" w:rsidRDefault="00504C82" w:rsidP="00630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E67"/>
    <w:multiLevelType w:val="hybridMultilevel"/>
    <w:tmpl w:val="4C9ED7B8"/>
    <w:lvl w:ilvl="0" w:tplc="8E443F36">
      <w:start w:val="1"/>
      <w:numFmt w:val="decimal"/>
      <w:lvlText w:val="%1."/>
      <w:lvlJc w:val="left"/>
      <w:pPr>
        <w:ind w:left="389" w:hanging="360"/>
      </w:pPr>
      <w:rPr>
        <w:rFonts w:hint="default"/>
      </w:rPr>
    </w:lvl>
    <w:lvl w:ilvl="1" w:tplc="38090019" w:tentative="1">
      <w:start w:val="1"/>
      <w:numFmt w:val="lowerLetter"/>
      <w:lvlText w:val="%2."/>
      <w:lvlJc w:val="left"/>
      <w:pPr>
        <w:ind w:left="1109" w:hanging="360"/>
      </w:pPr>
    </w:lvl>
    <w:lvl w:ilvl="2" w:tplc="3809001B" w:tentative="1">
      <w:start w:val="1"/>
      <w:numFmt w:val="lowerRoman"/>
      <w:lvlText w:val="%3."/>
      <w:lvlJc w:val="right"/>
      <w:pPr>
        <w:ind w:left="1829" w:hanging="180"/>
      </w:pPr>
    </w:lvl>
    <w:lvl w:ilvl="3" w:tplc="3809000F" w:tentative="1">
      <w:start w:val="1"/>
      <w:numFmt w:val="decimal"/>
      <w:lvlText w:val="%4."/>
      <w:lvlJc w:val="left"/>
      <w:pPr>
        <w:ind w:left="2549" w:hanging="360"/>
      </w:pPr>
    </w:lvl>
    <w:lvl w:ilvl="4" w:tplc="38090019" w:tentative="1">
      <w:start w:val="1"/>
      <w:numFmt w:val="lowerLetter"/>
      <w:lvlText w:val="%5."/>
      <w:lvlJc w:val="left"/>
      <w:pPr>
        <w:ind w:left="3269" w:hanging="360"/>
      </w:pPr>
    </w:lvl>
    <w:lvl w:ilvl="5" w:tplc="3809001B" w:tentative="1">
      <w:start w:val="1"/>
      <w:numFmt w:val="lowerRoman"/>
      <w:lvlText w:val="%6."/>
      <w:lvlJc w:val="right"/>
      <w:pPr>
        <w:ind w:left="3989" w:hanging="180"/>
      </w:pPr>
    </w:lvl>
    <w:lvl w:ilvl="6" w:tplc="3809000F" w:tentative="1">
      <w:start w:val="1"/>
      <w:numFmt w:val="decimal"/>
      <w:lvlText w:val="%7."/>
      <w:lvlJc w:val="left"/>
      <w:pPr>
        <w:ind w:left="4709" w:hanging="360"/>
      </w:pPr>
    </w:lvl>
    <w:lvl w:ilvl="7" w:tplc="38090019" w:tentative="1">
      <w:start w:val="1"/>
      <w:numFmt w:val="lowerLetter"/>
      <w:lvlText w:val="%8."/>
      <w:lvlJc w:val="left"/>
      <w:pPr>
        <w:ind w:left="5429" w:hanging="360"/>
      </w:pPr>
    </w:lvl>
    <w:lvl w:ilvl="8" w:tplc="3809001B" w:tentative="1">
      <w:start w:val="1"/>
      <w:numFmt w:val="lowerRoman"/>
      <w:lvlText w:val="%9."/>
      <w:lvlJc w:val="right"/>
      <w:pPr>
        <w:ind w:left="6149" w:hanging="180"/>
      </w:pPr>
    </w:lvl>
  </w:abstractNum>
  <w:abstractNum w:abstractNumId="1" w15:restartNumberingAfterBreak="0">
    <w:nsid w:val="0CE675E3"/>
    <w:multiLevelType w:val="hybridMultilevel"/>
    <w:tmpl w:val="0A9A00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787A83"/>
    <w:multiLevelType w:val="hybridMultilevel"/>
    <w:tmpl w:val="359AE0E2"/>
    <w:lvl w:ilvl="0" w:tplc="E8B6490A">
      <w:start w:val="1"/>
      <w:numFmt w:val="decimal"/>
      <w:pStyle w:val="References"/>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A2F0AD0"/>
    <w:multiLevelType w:val="multilevel"/>
    <w:tmpl w:val="16F07E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241115"/>
    <w:multiLevelType w:val="hybridMultilevel"/>
    <w:tmpl w:val="FE5E10FA"/>
    <w:lvl w:ilvl="0" w:tplc="0409000F">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54144111"/>
    <w:multiLevelType w:val="multilevel"/>
    <w:tmpl w:val="F9108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BD621B"/>
    <w:multiLevelType w:val="hybridMultilevel"/>
    <w:tmpl w:val="C310E5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F2474C0"/>
    <w:multiLevelType w:val="hybridMultilevel"/>
    <w:tmpl w:val="7C901A54"/>
    <w:lvl w:ilvl="0" w:tplc="79788DF8">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7DA2F78"/>
    <w:multiLevelType w:val="hybridMultilevel"/>
    <w:tmpl w:val="E54E63E0"/>
    <w:lvl w:ilvl="0" w:tplc="06FC420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C477424"/>
    <w:multiLevelType w:val="hybridMultilevel"/>
    <w:tmpl w:val="9C3C3E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088900">
    <w:abstractNumId w:val="0"/>
  </w:num>
  <w:num w:numId="2" w16cid:durableId="186647859">
    <w:abstractNumId w:val="7"/>
  </w:num>
  <w:num w:numId="3" w16cid:durableId="1161118629">
    <w:abstractNumId w:val="7"/>
  </w:num>
  <w:num w:numId="4" w16cid:durableId="2061398029">
    <w:abstractNumId w:val="10"/>
  </w:num>
  <w:num w:numId="5" w16cid:durableId="1462267757">
    <w:abstractNumId w:val="1"/>
  </w:num>
  <w:num w:numId="6" w16cid:durableId="1610315712">
    <w:abstractNumId w:val="4"/>
  </w:num>
  <w:num w:numId="7" w16cid:durableId="323749911">
    <w:abstractNumId w:val="8"/>
  </w:num>
  <w:num w:numId="8" w16cid:durableId="999233648">
    <w:abstractNumId w:val="8"/>
  </w:num>
  <w:num w:numId="9" w16cid:durableId="45759550">
    <w:abstractNumId w:val="8"/>
  </w:num>
  <w:num w:numId="10" w16cid:durableId="397899278">
    <w:abstractNumId w:val="8"/>
  </w:num>
  <w:num w:numId="11" w16cid:durableId="1232227404">
    <w:abstractNumId w:val="8"/>
  </w:num>
  <w:num w:numId="12" w16cid:durableId="960497098">
    <w:abstractNumId w:val="8"/>
  </w:num>
  <w:num w:numId="13" w16cid:durableId="441610738">
    <w:abstractNumId w:val="2"/>
  </w:num>
  <w:num w:numId="14" w16cid:durableId="1595237811">
    <w:abstractNumId w:val="2"/>
  </w:num>
  <w:num w:numId="15" w16cid:durableId="374737759">
    <w:abstractNumId w:val="2"/>
  </w:num>
  <w:num w:numId="16" w16cid:durableId="241454521">
    <w:abstractNumId w:val="2"/>
  </w:num>
  <w:num w:numId="17" w16cid:durableId="345376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7679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63837">
    <w:abstractNumId w:val="9"/>
  </w:num>
  <w:num w:numId="20" w16cid:durableId="839396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szQwMjaysDAzMrVQ0lEKTi0uzszPAykwNKwFAC1I6KUtAAAA"/>
  </w:docVars>
  <w:rsids>
    <w:rsidRoot w:val="00504C82"/>
    <w:rsid w:val="00022145"/>
    <w:rsid w:val="000704CE"/>
    <w:rsid w:val="00071E0C"/>
    <w:rsid w:val="00072435"/>
    <w:rsid w:val="00082236"/>
    <w:rsid w:val="000863AE"/>
    <w:rsid w:val="00097048"/>
    <w:rsid w:val="000B6095"/>
    <w:rsid w:val="000D1C8C"/>
    <w:rsid w:val="000E2759"/>
    <w:rsid w:val="000E6788"/>
    <w:rsid w:val="000F0209"/>
    <w:rsid w:val="00106AB1"/>
    <w:rsid w:val="00112185"/>
    <w:rsid w:val="001141DF"/>
    <w:rsid w:val="001467E0"/>
    <w:rsid w:val="00151588"/>
    <w:rsid w:val="0016549D"/>
    <w:rsid w:val="0017469B"/>
    <w:rsid w:val="001879B6"/>
    <w:rsid w:val="001974E6"/>
    <w:rsid w:val="001A6614"/>
    <w:rsid w:val="001B4FA6"/>
    <w:rsid w:val="001C558E"/>
    <w:rsid w:val="001E3222"/>
    <w:rsid w:val="001F5AA1"/>
    <w:rsid w:val="002042C7"/>
    <w:rsid w:val="002122ED"/>
    <w:rsid w:val="00233F92"/>
    <w:rsid w:val="00241F9C"/>
    <w:rsid w:val="00252361"/>
    <w:rsid w:val="00260335"/>
    <w:rsid w:val="00272019"/>
    <w:rsid w:val="002740E1"/>
    <w:rsid w:val="0029510B"/>
    <w:rsid w:val="002C205A"/>
    <w:rsid w:val="002D4AD5"/>
    <w:rsid w:val="002D6E95"/>
    <w:rsid w:val="002E15EE"/>
    <w:rsid w:val="002E4534"/>
    <w:rsid w:val="002F7BF1"/>
    <w:rsid w:val="00327949"/>
    <w:rsid w:val="00330936"/>
    <w:rsid w:val="00351D9E"/>
    <w:rsid w:val="00366659"/>
    <w:rsid w:val="0037347F"/>
    <w:rsid w:val="0038394F"/>
    <w:rsid w:val="00390E8B"/>
    <w:rsid w:val="00392F0B"/>
    <w:rsid w:val="00394E16"/>
    <w:rsid w:val="003B5B8F"/>
    <w:rsid w:val="003B604A"/>
    <w:rsid w:val="003C747B"/>
    <w:rsid w:val="003D5236"/>
    <w:rsid w:val="003F480C"/>
    <w:rsid w:val="003F5047"/>
    <w:rsid w:val="00405FE1"/>
    <w:rsid w:val="0040667C"/>
    <w:rsid w:val="00414484"/>
    <w:rsid w:val="004178B6"/>
    <w:rsid w:val="004205CB"/>
    <w:rsid w:val="00433C08"/>
    <w:rsid w:val="00440783"/>
    <w:rsid w:val="00447237"/>
    <w:rsid w:val="00452035"/>
    <w:rsid w:val="0045275C"/>
    <w:rsid w:val="00482335"/>
    <w:rsid w:val="0048313E"/>
    <w:rsid w:val="00484F2F"/>
    <w:rsid w:val="004927CA"/>
    <w:rsid w:val="00494FB2"/>
    <w:rsid w:val="004B451C"/>
    <w:rsid w:val="004D1479"/>
    <w:rsid w:val="004E221F"/>
    <w:rsid w:val="004F0A07"/>
    <w:rsid w:val="004F5547"/>
    <w:rsid w:val="0050375E"/>
    <w:rsid w:val="0050476E"/>
    <w:rsid w:val="00504C82"/>
    <w:rsid w:val="00507600"/>
    <w:rsid w:val="00507E14"/>
    <w:rsid w:val="005133F6"/>
    <w:rsid w:val="00516671"/>
    <w:rsid w:val="00521836"/>
    <w:rsid w:val="00533F81"/>
    <w:rsid w:val="00541E3E"/>
    <w:rsid w:val="00550B24"/>
    <w:rsid w:val="00552250"/>
    <w:rsid w:val="00552257"/>
    <w:rsid w:val="00556B58"/>
    <w:rsid w:val="00560A2F"/>
    <w:rsid w:val="0056356C"/>
    <w:rsid w:val="00591F22"/>
    <w:rsid w:val="005B7EE3"/>
    <w:rsid w:val="005C7264"/>
    <w:rsid w:val="005F7F36"/>
    <w:rsid w:val="006140F1"/>
    <w:rsid w:val="00614263"/>
    <w:rsid w:val="00630D70"/>
    <w:rsid w:val="006362A7"/>
    <w:rsid w:val="00643D64"/>
    <w:rsid w:val="00654B52"/>
    <w:rsid w:val="00685FDE"/>
    <w:rsid w:val="00693493"/>
    <w:rsid w:val="006B6E17"/>
    <w:rsid w:val="006E4AD5"/>
    <w:rsid w:val="00701D75"/>
    <w:rsid w:val="00724F49"/>
    <w:rsid w:val="00781E3D"/>
    <w:rsid w:val="00796E4A"/>
    <w:rsid w:val="007A05B7"/>
    <w:rsid w:val="007C6D88"/>
    <w:rsid w:val="007D3407"/>
    <w:rsid w:val="007D72BB"/>
    <w:rsid w:val="007F2CDD"/>
    <w:rsid w:val="00813262"/>
    <w:rsid w:val="00822A97"/>
    <w:rsid w:val="008267D6"/>
    <w:rsid w:val="0083408C"/>
    <w:rsid w:val="00840D82"/>
    <w:rsid w:val="008419E5"/>
    <w:rsid w:val="008576E1"/>
    <w:rsid w:val="00871BC9"/>
    <w:rsid w:val="008813EE"/>
    <w:rsid w:val="008B1BF4"/>
    <w:rsid w:val="008E345F"/>
    <w:rsid w:val="008F14E9"/>
    <w:rsid w:val="0090066A"/>
    <w:rsid w:val="00902C1C"/>
    <w:rsid w:val="00906605"/>
    <w:rsid w:val="00923848"/>
    <w:rsid w:val="009256FF"/>
    <w:rsid w:val="0093143F"/>
    <w:rsid w:val="00935478"/>
    <w:rsid w:val="00956DE8"/>
    <w:rsid w:val="00994C8A"/>
    <w:rsid w:val="009A52B2"/>
    <w:rsid w:val="009C4D72"/>
    <w:rsid w:val="009C6298"/>
    <w:rsid w:val="009E1602"/>
    <w:rsid w:val="00A14E75"/>
    <w:rsid w:val="00A14F3C"/>
    <w:rsid w:val="00A23652"/>
    <w:rsid w:val="00A2784D"/>
    <w:rsid w:val="00A31394"/>
    <w:rsid w:val="00A511F1"/>
    <w:rsid w:val="00A54135"/>
    <w:rsid w:val="00A73403"/>
    <w:rsid w:val="00A858AE"/>
    <w:rsid w:val="00A87F21"/>
    <w:rsid w:val="00AD03F0"/>
    <w:rsid w:val="00AE2F2D"/>
    <w:rsid w:val="00AF5022"/>
    <w:rsid w:val="00AF7922"/>
    <w:rsid w:val="00B0220B"/>
    <w:rsid w:val="00B07F70"/>
    <w:rsid w:val="00B31602"/>
    <w:rsid w:val="00B67D58"/>
    <w:rsid w:val="00B76CD0"/>
    <w:rsid w:val="00BA121B"/>
    <w:rsid w:val="00BB7384"/>
    <w:rsid w:val="00BC2603"/>
    <w:rsid w:val="00BD7649"/>
    <w:rsid w:val="00C03E33"/>
    <w:rsid w:val="00C07DF6"/>
    <w:rsid w:val="00C10E2B"/>
    <w:rsid w:val="00C22354"/>
    <w:rsid w:val="00C2244B"/>
    <w:rsid w:val="00C25A34"/>
    <w:rsid w:val="00C31188"/>
    <w:rsid w:val="00C44B7B"/>
    <w:rsid w:val="00C60AF4"/>
    <w:rsid w:val="00C8068D"/>
    <w:rsid w:val="00CA202C"/>
    <w:rsid w:val="00CB01E1"/>
    <w:rsid w:val="00CD524B"/>
    <w:rsid w:val="00CE109B"/>
    <w:rsid w:val="00D369C4"/>
    <w:rsid w:val="00D86FDB"/>
    <w:rsid w:val="00D90A9D"/>
    <w:rsid w:val="00DA400F"/>
    <w:rsid w:val="00DD7430"/>
    <w:rsid w:val="00DE47F7"/>
    <w:rsid w:val="00DE7077"/>
    <w:rsid w:val="00E02730"/>
    <w:rsid w:val="00E04304"/>
    <w:rsid w:val="00E04A35"/>
    <w:rsid w:val="00E06D6D"/>
    <w:rsid w:val="00E20659"/>
    <w:rsid w:val="00E4013F"/>
    <w:rsid w:val="00E85CE4"/>
    <w:rsid w:val="00EA44F0"/>
    <w:rsid w:val="00EF5974"/>
    <w:rsid w:val="00F03C4D"/>
    <w:rsid w:val="00F10FE9"/>
    <w:rsid w:val="00F327AF"/>
    <w:rsid w:val="00F42981"/>
    <w:rsid w:val="00F43ED8"/>
    <w:rsid w:val="00F5483E"/>
    <w:rsid w:val="00F60CE0"/>
    <w:rsid w:val="00F747AE"/>
    <w:rsid w:val="00F77CCD"/>
    <w:rsid w:val="00F82DF9"/>
    <w:rsid w:val="00FA0E06"/>
    <w:rsid w:val="00FA450F"/>
    <w:rsid w:val="00FB334C"/>
    <w:rsid w:val="00FC2D37"/>
    <w:rsid w:val="00FC7B76"/>
    <w:rsid w:val="00FD6CA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E2BFD"/>
  <w15:chartTrackingRefBased/>
  <w15:docId w15:val="{900F83B8-0605-4841-BA56-8E745830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Title"/>
    <w:qFormat/>
    <w:rsid w:val="00630D70"/>
    <w:pPr>
      <w:spacing w:before="120" w:after="240" w:line="240" w:lineRule="auto"/>
      <w:jc w:val="center"/>
    </w:pPr>
    <w:rPr>
      <w:rFonts w:ascii="Times New Roman" w:hAnsi="Times New Roman"/>
      <w:b/>
      <w:color w:val="4472C4" w:themeColor="accent1"/>
      <w:sz w:val="28"/>
    </w:rPr>
  </w:style>
  <w:style w:type="paragraph" w:styleId="Heading1">
    <w:name w:val="heading 1"/>
    <w:aliases w:val="3. Affiliation"/>
    <w:basedOn w:val="Normal"/>
    <w:next w:val="Normal"/>
    <w:link w:val="Heading1Char"/>
    <w:uiPriority w:val="9"/>
    <w:qFormat/>
    <w:rsid w:val="008B1BF4"/>
    <w:pPr>
      <w:keepNext/>
      <w:keepLines/>
      <w:spacing w:before="0" w:after="0"/>
      <w:outlineLvl w:val="0"/>
    </w:pPr>
    <w:rPr>
      <w:rFonts w:eastAsiaTheme="majorEastAsia" w:cstheme="majorBidi"/>
      <w:b w:val="0"/>
      <w:color w:val="auto"/>
      <w:sz w:val="20"/>
      <w:szCs w:val="32"/>
    </w:rPr>
  </w:style>
  <w:style w:type="paragraph" w:styleId="Heading2">
    <w:name w:val="heading 2"/>
    <w:aliases w:val="4. Email"/>
    <w:basedOn w:val="Normal"/>
    <w:next w:val="Normal"/>
    <w:link w:val="Heading2Char"/>
    <w:uiPriority w:val="9"/>
    <w:unhideWhenUsed/>
    <w:qFormat/>
    <w:rsid w:val="00DE7077"/>
    <w:pPr>
      <w:keepNext/>
      <w:keepLines/>
      <w:spacing w:after="120"/>
      <w:jc w:val="left"/>
      <w:outlineLvl w:val="1"/>
    </w:pPr>
    <w:rPr>
      <w:rFonts w:eastAsiaTheme="majorEastAsia" w:cstheme="majorBidi"/>
      <w:b w:val="0"/>
      <w:color w:val="auto"/>
      <w:sz w:val="20"/>
      <w:szCs w:val="26"/>
    </w:rPr>
  </w:style>
  <w:style w:type="paragraph" w:styleId="Heading3">
    <w:name w:val="heading 3"/>
    <w:aliases w:val="5. Citation"/>
    <w:basedOn w:val="7Keyword"/>
    <w:next w:val="Normal"/>
    <w:link w:val="Heading3Char"/>
    <w:uiPriority w:val="9"/>
    <w:unhideWhenUsed/>
    <w:qFormat/>
    <w:rsid w:val="00521836"/>
    <w:pPr>
      <w:jc w:val="both"/>
      <w:outlineLvl w:val="2"/>
    </w:pPr>
    <w:rPr>
      <w:shd w:val="clear" w:color="auto" w:fill="FFFFFF"/>
      <w:lang w:val="pt-BR"/>
    </w:rPr>
  </w:style>
  <w:style w:type="paragraph" w:styleId="Heading4">
    <w:name w:val="heading 4"/>
    <w:aliases w:val="6. Abstract"/>
    <w:basedOn w:val="Normal"/>
    <w:next w:val="Normal"/>
    <w:link w:val="Heading4Char"/>
    <w:uiPriority w:val="9"/>
    <w:unhideWhenUsed/>
    <w:qFormat/>
    <w:rsid w:val="00F60CE0"/>
    <w:pPr>
      <w:keepNext/>
      <w:keepLines/>
      <w:spacing w:before="0" w:after="0"/>
      <w:jc w:val="both"/>
      <w:outlineLvl w:val="3"/>
    </w:pPr>
    <w:rPr>
      <w:rFonts w:eastAsiaTheme="majorEastAsia" w:cstheme="majorBidi"/>
      <w:b w:val="0"/>
      <w:bCs/>
      <w:iCs/>
      <w:color w:val="auto"/>
      <w:sz w:val="20"/>
      <w:lang w:val="en-AU"/>
    </w:rPr>
  </w:style>
  <w:style w:type="paragraph" w:styleId="Heading5">
    <w:name w:val="heading 5"/>
    <w:aliases w:val="8. Heading 1"/>
    <w:basedOn w:val="Normal"/>
    <w:next w:val="Normal"/>
    <w:link w:val="Heading5Char"/>
    <w:uiPriority w:val="9"/>
    <w:unhideWhenUsed/>
    <w:qFormat/>
    <w:rsid w:val="001B4FA6"/>
    <w:pPr>
      <w:keepNext/>
      <w:keepLines/>
      <w:spacing w:before="240" w:after="0"/>
      <w:jc w:val="left"/>
      <w:outlineLvl w:val="4"/>
    </w:pPr>
    <w:rPr>
      <w:rFonts w:eastAsiaTheme="majorEastAsia" w:cstheme="majorBidi"/>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C82"/>
    <w:pPr>
      <w:tabs>
        <w:tab w:val="center" w:pos="4513"/>
        <w:tab w:val="right" w:pos="9026"/>
      </w:tabs>
      <w:spacing w:after="0"/>
    </w:pPr>
  </w:style>
  <w:style w:type="character" w:customStyle="1" w:styleId="HeaderChar">
    <w:name w:val="Header Char"/>
    <w:basedOn w:val="DefaultParagraphFont"/>
    <w:link w:val="Header"/>
    <w:uiPriority w:val="99"/>
    <w:rsid w:val="00504C82"/>
  </w:style>
  <w:style w:type="paragraph" w:styleId="Footer">
    <w:name w:val="footer"/>
    <w:basedOn w:val="Normal"/>
    <w:link w:val="FooterChar"/>
    <w:uiPriority w:val="99"/>
    <w:unhideWhenUsed/>
    <w:rsid w:val="00504C82"/>
    <w:pPr>
      <w:tabs>
        <w:tab w:val="center" w:pos="4513"/>
        <w:tab w:val="right" w:pos="9026"/>
      </w:tabs>
      <w:spacing w:after="0"/>
    </w:pPr>
  </w:style>
  <w:style w:type="character" w:customStyle="1" w:styleId="FooterChar">
    <w:name w:val="Footer Char"/>
    <w:basedOn w:val="DefaultParagraphFont"/>
    <w:link w:val="Footer"/>
    <w:uiPriority w:val="99"/>
    <w:rsid w:val="00504C82"/>
  </w:style>
  <w:style w:type="character" w:customStyle="1" w:styleId="fontstyle01">
    <w:name w:val="fontstyle01"/>
    <w:basedOn w:val="DefaultParagraphFont"/>
    <w:rsid w:val="00504C82"/>
    <w:rPr>
      <w:rFonts w:ascii="Candara" w:hAnsi="Candara" w:hint="default"/>
      <w:b/>
      <w:bCs/>
      <w:i w:val="0"/>
      <w:iCs w:val="0"/>
      <w:color w:val="000000"/>
      <w:sz w:val="24"/>
      <w:szCs w:val="24"/>
    </w:rPr>
  </w:style>
  <w:style w:type="character" w:customStyle="1" w:styleId="fontstyle21">
    <w:name w:val="fontstyle21"/>
    <w:basedOn w:val="DefaultParagraphFont"/>
    <w:rsid w:val="00504C82"/>
    <w:rPr>
      <w:rFonts w:ascii="TimesNewRoman" w:hAnsi="TimesNewRoman" w:hint="default"/>
      <w:b w:val="0"/>
      <w:bCs w:val="0"/>
      <w:i w:val="0"/>
      <w:iCs w:val="0"/>
      <w:color w:val="000000"/>
      <w:sz w:val="18"/>
      <w:szCs w:val="18"/>
    </w:rPr>
  </w:style>
  <w:style w:type="table" w:styleId="TableGrid">
    <w:name w:val="Table Grid"/>
    <w:basedOn w:val="TableNormal"/>
    <w:uiPriority w:val="59"/>
    <w:rsid w:val="00504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C82"/>
    <w:rPr>
      <w:color w:val="0563C1" w:themeColor="hyperlink"/>
      <w:u w:val="single"/>
    </w:rPr>
  </w:style>
  <w:style w:type="character" w:styleId="UnresolvedMention">
    <w:name w:val="Unresolved Mention"/>
    <w:basedOn w:val="DefaultParagraphFont"/>
    <w:uiPriority w:val="99"/>
    <w:semiHidden/>
    <w:unhideWhenUsed/>
    <w:rsid w:val="00504C82"/>
    <w:rPr>
      <w:color w:val="605E5C"/>
      <w:shd w:val="clear" w:color="auto" w:fill="E1DFDD"/>
    </w:rPr>
  </w:style>
  <w:style w:type="character" w:styleId="Strong">
    <w:name w:val="Strong"/>
    <w:basedOn w:val="DefaultParagraphFont"/>
    <w:uiPriority w:val="22"/>
    <w:rsid w:val="00504C82"/>
    <w:rPr>
      <w:b/>
      <w:bCs/>
    </w:rPr>
  </w:style>
  <w:style w:type="paragraph" w:styleId="ListParagraph">
    <w:name w:val="List Paragraph"/>
    <w:basedOn w:val="Normal"/>
    <w:link w:val="ListParagraphChar"/>
    <w:uiPriority w:val="34"/>
    <w:rsid w:val="00504C82"/>
    <w:pPr>
      <w:ind w:left="720"/>
      <w:contextualSpacing/>
    </w:pPr>
  </w:style>
  <w:style w:type="paragraph" w:styleId="NoSpacing">
    <w:name w:val="No Spacing"/>
    <w:aliases w:val="2. Author"/>
    <w:uiPriority w:val="1"/>
    <w:qFormat/>
    <w:rsid w:val="00484F2F"/>
    <w:pPr>
      <w:spacing w:after="120" w:line="240" w:lineRule="auto"/>
      <w:jc w:val="center"/>
    </w:pPr>
    <w:rPr>
      <w:rFonts w:ascii="Times New Roman" w:hAnsi="Times New Roman"/>
      <w:b/>
      <w:sz w:val="20"/>
      <w:lang w:val="en-US"/>
    </w:rPr>
  </w:style>
  <w:style w:type="character" w:customStyle="1" w:styleId="Heading1Char">
    <w:name w:val="Heading 1 Char"/>
    <w:aliases w:val="3. Affiliation Char"/>
    <w:basedOn w:val="DefaultParagraphFont"/>
    <w:link w:val="Heading1"/>
    <w:uiPriority w:val="9"/>
    <w:rsid w:val="008B1BF4"/>
    <w:rPr>
      <w:rFonts w:ascii="Times New Roman" w:eastAsiaTheme="majorEastAsia" w:hAnsi="Times New Roman" w:cstheme="majorBidi"/>
      <w:sz w:val="20"/>
      <w:szCs w:val="32"/>
    </w:rPr>
  </w:style>
  <w:style w:type="character" w:customStyle="1" w:styleId="Heading2Char">
    <w:name w:val="Heading 2 Char"/>
    <w:aliases w:val="4. Email Char"/>
    <w:basedOn w:val="DefaultParagraphFont"/>
    <w:link w:val="Heading2"/>
    <w:uiPriority w:val="9"/>
    <w:rsid w:val="00DE7077"/>
    <w:rPr>
      <w:rFonts w:ascii="Times New Roman" w:eastAsiaTheme="majorEastAsia" w:hAnsi="Times New Roman" w:cstheme="majorBidi"/>
      <w:sz w:val="20"/>
      <w:szCs w:val="26"/>
    </w:rPr>
  </w:style>
  <w:style w:type="character" w:customStyle="1" w:styleId="Heading3Char">
    <w:name w:val="Heading 3 Char"/>
    <w:aliases w:val="5. Citation Char"/>
    <w:basedOn w:val="DefaultParagraphFont"/>
    <w:link w:val="Heading3"/>
    <w:uiPriority w:val="9"/>
    <w:rsid w:val="00521836"/>
    <w:rPr>
      <w:rFonts w:ascii="Times New Roman" w:eastAsia="Calibri" w:hAnsi="Times New Roman" w:cs="Times New Roman"/>
      <w:bCs/>
      <w:kern w:val="32"/>
      <w:sz w:val="20"/>
      <w:szCs w:val="20"/>
      <w:lang w:val="pt-BR"/>
    </w:rPr>
  </w:style>
  <w:style w:type="character" w:customStyle="1" w:styleId="Heading4Char">
    <w:name w:val="Heading 4 Char"/>
    <w:aliases w:val="6. Abstract Char"/>
    <w:basedOn w:val="DefaultParagraphFont"/>
    <w:link w:val="Heading4"/>
    <w:uiPriority w:val="9"/>
    <w:rsid w:val="00F60CE0"/>
    <w:rPr>
      <w:rFonts w:ascii="Times New Roman" w:eastAsiaTheme="majorEastAsia" w:hAnsi="Times New Roman" w:cstheme="majorBidi"/>
      <w:bCs/>
      <w:iCs/>
      <w:sz w:val="20"/>
      <w:lang w:val="en-AU"/>
    </w:rPr>
  </w:style>
  <w:style w:type="paragraph" w:customStyle="1" w:styleId="7Abstract">
    <w:name w:val="7 Abstract"/>
    <w:basedOn w:val="Normal"/>
    <w:link w:val="7AbstractChar"/>
    <w:rsid w:val="00504C82"/>
    <w:pPr>
      <w:spacing w:after="120"/>
      <w:ind w:left="170" w:right="170"/>
    </w:pPr>
    <w:rPr>
      <w:b w:val="0"/>
      <w:sz w:val="20"/>
    </w:rPr>
  </w:style>
  <w:style w:type="character" w:customStyle="1" w:styleId="7AbstractChar">
    <w:name w:val="7 Abstract Char"/>
    <w:link w:val="7Abstract"/>
    <w:rsid w:val="00504C82"/>
    <w:rPr>
      <w:rFonts w:ascii="Times New Roman" w:hAnsi="Times New Roman"/>
      <w:sz w:val="20"/>
    </w:rPr>
  </w:style>
  <w:style w:type="paragraph" w:customStyle="1" w:styleId="9Paragraph">
    <w:name w:val="9 Paragraph"/>
    <w:basedOn w:val="Normal"/>
    <w:link w:val="9ParagraphChar"/>
    <w:rsid w:val="00504C82"/>
    <w:pPr>
      <w:spacing w:after="0"/>
      <w:ind w:firstLine="340"/>
    </w:pPr>
    <w:rPr>
      <w:b w:val="0"/>
      <w:sz w:val="20"/>
    </w:rPr>
  </w:style>
  <w:style w:type="character" w:customStyle="1" w:styleId="9ParagraphChar">
    <w:name w:val="9 Paragraph Char"/>
    <w:link w:val="9Paragraph"/>
    <w:rsid w:val="00504C82"/>
    <w:rPr>
      <w:rFonts w:ascii="Times New Roman" w:hAnsi="Times New Roman"/>
      <w:sz w:val="20"/>
    </w:rPr>
  </w:style>
  <w:style w:type="character" w:customStyle="1" w:styleId="Heading5Char">
    <w:name w:val="Heading 5 Char"/>
    <w:aliases w:val="8. Heading 1 Char"/>
    <w:basedOn w:val="DefaultParagraphFont"/>
    <w:link w:val="Heading5"/>
    <w:uiPriority w:val="9"/>
    <w:rsid w:val="001B4FA6"/>
    <w:rPr>
      <w:rFonts w:ascii="Times New Roman" w:eastAsiaTheme="majorEastAsia" w:hAnsi="Times New Roman" w:cstheme="majorBidi"/>
      <w:b/>
      <w:caps/>
      <w:color w:val="4472C4" w:themeColor="accent1"/>
      <w:sz w:val="24"/>
    </w:rPr>
  </w:style>
  <w:style w:type="paragraph" w:customStyle="1" w:styleId="9Paragraph0">
    <w:name w:val="9. Paragraph"/>
    <w:basedOn w:val="9Paragraph"/>
    <w:link w:val="9ParagraphChar0"/>
    <w:qFormat/>
    <w:rsid w:val="002740E1"/>
    <w:pPr>
      <w:spacing w:line="360" w:lineRule="auto"/>
      <w:ind w:firstLine="567"/>
      <w:jc w:val="both"/>
    </w:pPr>
    <w:rPr>
      <w:color w:val="auto"/>
      <w:sz w:val="22"/>
      <w:lang w:val="en-AU" w:eastAsia="id-ID"/>
    </w:rPr>
  </w:style>
  <w:style w:type="paragraph" w:customStyle="1" w:styleId="keywordkatakunci">
    <w:name w:val="keyword (kata kunci)"/>
    <w:link w:val="keywordkatakunciChar"/>
    <w:qFormat/>
    <w:rsid w:val="00504C82"/>
    <w:pPr>
      <w:spacing w:after="0" w:line="240" w:lineRule="auto"/>
    </w:pPr>
    <w:rPr>
      <w:rFonts w:ascii="Centaur" w:eastAsia="Times New Roman" w:hAnsi="Centaur" w:cs="Times New Roman"/>
      <w:bCs/>
      <w:kern w:val="32"/>
      <w:sz w:val="20"/>
      <w:szCs w:val="32"/>
      <w:lang w:val="id-ID" w:eastAsia="id-ID"/>
    </w:rPr>
  </w:style>
  <w:style w:type="character" w:customStyle="1" w:styleId="9ParagraphChar0">
    <w:name w:val="9. Paragraph Char"/>
    <w:basedOn w:val="9ParagraphChar"/>
    <w:link w:val="9Paragraph0"/>
    <w:rsid w:val="002740E1"/>
    <w:rPr>
      <w:rFonts w:ascii="Times New Roman" w:hAnsi="Times New Roman"/>
      <w:sz w:val="20"/>
      <w:lang w:val="en-AU" w:eastAsia="id-ID"/>
    </w:rPr>
  </w:style>
  <w:style w:type="character" w:customStyle="1" w:styleId="keywordkatakunciChar">
    <w:name w:val="keyword (kata kunci) Char"/>
    <w:link w:val="keywordkatakunci"/>
    <w:rsid w:val="00504C82"/>
    <w:rPr>
      <w:rFonts w:ascii="Centaur" w:eastAsia="Times New Roman" w:hAnsi="Centaur" w:cs="Times New Roman"/>
      <w:bCs/>
      <w:kern w:val="32"/>
      <w:sz w:val="20"/>
      <w:szCs w:val="32"/>
      <w:lang w:val="id-ID" w:eastAsia="id-ID"/>
    </w:rPr>
  </w:style>
  <w:style w:type="paragraph" w:customStyle="1" w:styleId="7Keyword">
    <w:name w:val="7 Keyword"/>
    <w:basedOn w:val="keywordkatakunci"/>
    <w:link w:val="7KeywordChar"/>
    <w:qFormat/>
    <w:rsid w:val="00935478"/>
    <w:rPr>
      <w:rFonts w:ascii="Times New Roman" w:eastAsia="Calibri" w:hAnsi="Times New Roman"/>
      <w:szCs w:val="20"/>
      <w:lang w:val="en-US" w:eastAsia="en-US"/>
    </w:rPr>
  </w:style>
  <w:style w:type="character" w:customStyle="1" w:styleId="7KeywordChar">
    <w:name w:val="7 Keyword Char"/>
    <w:link w:val="7Keyword"/>
    <w:rsid w:val="00935478"/>
    <w:rPr>
      <w:rFonts w:ascii="Times New Roman" w:eastAsia="Calibri" w:hAnsi="Times New Roman" w:cs="Times New Roman"/>
      <w:bCs/>
      <w:kern w:val="32"/>
      <w:sz w:val="20"/>
      <w:szCs w:val="20"/>
      <w:lang w:val="en-US"/>
    </w:rPr>
  </w:style>
  <w:style w:type="paragraph" w:customStyle="1" w:styleId="4Intisari">
    <w:name w:val="4 Intisari"/>
    <w:basedOn w:val="Normal"/>
    <w:link w:val="4IntisariChar"/>
    <w:rsid w:val="00504C82"/>
    <w:pPr>
      <w:spacing w:after="160" w:line="259" w:lineRule="auto"/>
      <w:ind w:left="720" w:right="1440"/>
    </w:pPr>
    <w:rPr>
      <w:rFonts w:asciiTheme="minorHAnsi" w:hAnsiTheme="minorHAnsi"/>
      <w:b w:val="0"/>
      <w:sz w:val="22"/>
    </w:rPr>
  </w:style>
  <w:style w:type="character" w:customStyle="1" w:styleId="4IntisariChar">
    <w:name w:val="4 Intisari Char"/>
    <w:link w:val="4Intisari"/>
    <w:rsid w:val="00504C82"/>
  </w:style>
  <w:style w:type="paragraph" w:customStyle="1" w:styleId="3AfiliationAddress">
    <w:name w:val="3 Afiliation &amp; Address"/>
    <w:basedOn w:val="Normal"/>
    <w:link w:val="3AfiliationAddressChar"/>
    <w:rsid w:val="00504C82"/>
    <w:pPr>
      <w:spacing w:after="0"/>
    </w:pPr>
    <w:rPr>
      <w:rFonts w:ascii="Segoe UI" w:hAnsi="Segoe UI"/>
      <w:b w:val="0"/>
      <w:color w:val="1D1B11"/>
      <w:sz w:val="20"/>
      <w:lang w:val="id-ID"/>
    </w:rPr>
  </w:style>
  <w:style w:type="character" w:customStyle="1" w:styleId="3AfiliationAddressChar">
    <w:name w:val="3 Afiliation &amp; Address Char"/>
    <w:link w:val="3AfiliationAddress"/>
    <w:rsid w:val="00504C82"/>
    <w:rPr>
      <w:rFonts w:ascii="Segoe UI" w:hAnsi="Segoe UI"/>
      <w:color w:val="1D1B11"/>
      <w:sz w:val="20"/>
      <w:lang w:val="id-ID"/>
    </w:rPr>
  </w:style>
  <w:style w:type="paragraph" w:customStyle="1" w:styleId="sejarahartikel">
    <w:name w:val="sejarah artikel"/>
    <w:link w:val="sejarahartikelChar"/>
    <w:rsid w:val="00504C82"/>
    <w:pPr>
      <w:spacing w:after="0" w:line="240" w:lineRule="auto"/>
    </w:pPr>
    <w:rPr>
      <w:rFonts w:ascii="Centaur" w:eastAsia="Times New Roman" w:hAnsi="Centaur" w:cs="Times New Roman"/>
      <w:bCs/>
      <w:kern w:val="32"/>
      <w:sz w:val="18"/>
      <w:szCs w:val="32"/>
      <w:lang w:val="id-ID" w:eastAsia="id-ID"/>
    </w:rPr>
  </w:style>
  <w:style w:type="character" w:customStyle="1" w:styleId="sejarahartikelChar">
    <w:name w:val="sejarah artikel Char"/>
    <w:link w:val="sejarahartikel"/>
    <w:rsid w:val="00504C82"/>
    <w:rPr>
      <w:rFonts w:ascii="Centaur" w:eastAsia="Times New Roman" w:hAnsi="Centaur" w:cs="Times New Roman"/>
      <w:bCs/>
      <w:kern w:val="32"/>
      <w:sz w:val="18"/>
      <w:szCs w:val="32"/>
      <w:lang w:val="id-ID" w:eastAsia="id-ID"/>
    </w:rPr>
  </w:style>
  <w:style w:type="paragraph" w:customStyle="1" w:styleId="10Heading2">
    <w:name w:val="10. Heading 2"/>
    <w:basedOn w:val="Normal"/>
    <w:link w:val="10Heading2Char"/>
    <w:qFormat/>
    <w:rsid w:val="00A87F21"/>
    <w:pPr>
      <w:spacing w:before="240" w:after="0"/>
      <w:jc w:val="both"/>
    </w:pPr>
    <w:rPr>
      <w:sz w:val="24"/>
    </w:rPr>
  </w:style>
  <w:style w:type="paragraph" w:customStyle="1" w:styleId="10TableandFigureName">
    <w:name w:val="10 Table and Figure Name"/>
    <w:basedOn w:val="Normal"/>
    <w:link w:val="10TableandFigureNameChar"/>
    <w:qFormat/>
    <w:rsid w:val="001879B6"/>
    <w:pPr>
      <w:spacing w:after="120"/>
    </w:pPr>
    <w:rPr>
      <w:b w:val="0"/>
      <w:color w:val="000000"/>
      <w:sz w:val="20"/>
      <w:lang w:val="nb-NO"/>
    </w:rPr>
  </w:style>
  <w:style w:type="character" w:customStyle="1" w:styleId="10Heading2Char">
    <w:name w:val="10. Heading 2 Char"/>
    <w:basedOn w:val="DefaultParagraphFont"/>
    <w:link w:val="10Heading2"/>
    <w:rsid w:val="00A87F21"/>
    <w:rPr>
      <w:rFonts w:ascii="Times New Roman" w:hAnsi="Times New Roman"/>
      <w:b/>
      <w:color w:val="4472C4" w:themeColor="accent1"/>
      <w:sz w:val="24"/>
    </w:rPr>
  </w:style>
  <w:style w:type="character" w:customStyle="1" w:styleId="10TableandFigureNameChar">
    <w:name w:val="10 Table and Figure Name Char"/>
    <w:link w:val="10TableandFigureName"/>
    <w:rsid w:val="001879B6"/>
    <w:rPr>
      <w:rFonts w:ascii="Times New Roman" w:hAnsi="Times New Roman"/>
      <w:color w:val="000000"/>
      <w:sz w:val="20"/>
      <w:lang w:val="nb-NO"/>
    </w:rPr>
  </w:style>
  <w:style w:type="paragraph" w:customStyle="1" w:styleId="TableFigure">
    <w:name w:val="Table &amp; Figure"/>
    <w:basedOn w:val="10TableandFigureName"/>
    <w:link w:val="TableFigureChar"/>
    <w:rsid w:val="00504C82"/>
  </w:style>
  <w:style w:type="paragraph" w:customStyle="1" w:styleId="11FigureName">
    <w:name w:val="11. Figure Name"/>
    <w:basedOn w:val="10TableandFigureName"/>
    <w:link w:val="11FigureNameChar"/>
    <w:rsid w:val="00504C82"/>
    <w:pPr>
      <w:spacing w:after="240"/>
    </w:pPr>
  </w:style>
  <w:style w:type="character" w:customStyle="1" w:styleId="TableFigureChar">
    <w:name w:val="Table &amp; Figure Char"/>
    <w:basedOn w:val="10TableandFigureNameChar"/>
    <w:link w:val="TableFigure"/>
    <w:rsid w:val="00504C82"/>
    <w:rPr>
      <w:rFonts w:ascii="Segoe UI" w:hAnsi="Segoe UI"/>
      <w:color w:val="000000"/>
      <w:sz w:val="18"/>
      <w:lang w:val="nb-NO"/>
    </w:rPr>
  </w:style>
  <w:style w:type="character" w:customStyle="1" w:styleId="11FigureNameChar">
    <w:name w:val="11. Figure Name Char"/>
    <w:basedOn w:val="10TableandFigureNameChar"/>
    <w:link w:val="11FigureName"/>
    <w:rsid w:val="00504C82"/>
    <w:rPr>
      <w:rFonts w:ascii="Times New Roman" w:hAnsi="Times New Roman"/>
      <w:color w:val="000000"/>
      <w:sz w:val="18"/>
      <w:lang w:val="nb-NO"/>
    </w:rPr>
  </w:style>
  <w:style w:type="paragraph" w:customStyle="1" w:styleId="References">
    <w:name w:val="References"/>
    <w:basedOn w:val="Normal"/>
    <w:link w:val="ReferencesChar"/>
    <w:qFormat/>
    <w:rsid w:val="002740E1"/>
    <w:pPr>
      <w:numPr>
        <w:numId w:val="13"/>
      </w:numPr>
      <w:spacing w:before="0" w:after="0"/>
      <w:ind w:left="357" w:hanging="357"/>
      <w:contextualSpacing/>
      <w:jc w:val="both"/>
    </w:pPr>
    <w:rPr>
      <w:rFonts w:cs="Times New Roman"/>
      <w:b w:val="0"/>
      <w:bCs/>
      <w:color w:val="000000"/>
      <w:sz w:val="22"/>
      <w:lang w:val="en-US"/>
    </w:rPr>
  </w:style>
  <w:style w:type="character" w:customStyle="1" w:styleId="ReferencesChar">
    <w:name w:val="References Char"/>
    <w:link w:val="References"/>
    <w:rsid w:val="002740E1"/>
    <w:rPr>
      <w:rFonts w:ascii="Times New Roman" w:hAnsi="Times New Roman" w:cs="Times New Roman"/>
      <w:bCs/>
      <w:color w:val="000000"/>
      <w:lang w:val="en-US"/>
    </w:rPr>
  </w:style>
  <w:style w:type="character" w:customStyle="1" w:styleId="ListParagraphChar">
    <w:name w:val="List Paragraph Char"/>
    <w:link w:val="ListParagraph"/>
    <w:uiPriority w:val="34"/>
    <w:rsid w:val="00813262"/>
    <w:rPr>
      <w:rFonts w:ascii="Arial Black" w:hAnsi="Arial Black"/>
      <w:b/>
      <w:sz w:val="32"/>
    </w:rPr>
  </w:style>
  <w:style w:type="paragraph" w:styleId="NormalWeb">
    <w:name w:val="Normal (Web)"/>
    <w:basedOn w:val="Normal"/>
    <w:unhideWhenUsed/>
    <w:rsid w:val="005F7F36"/>
    <w:pPr>
      <w:spacing w:before="100" w:beforeAutospacing="1" w:after="100" w:afterAutospacing="1"/>
    </w:pPr>
    <w:rPr>
      <w:rFonts w:eastAsia="Times New Roman" w:cs="Times New Roman"/>
      <w:b w:val="0"/>
      <w:color w:val="auto"/>
      <w:sz w:val="24"/>
      <w:szCs w:val="24"/>
      <w:lang w:val="id-ID" w:eastAsia="id-ID"/>
    </w:rPr>
  </w:style>
  <w:style w:type="paragraph" w:customStyle="1" w:styleId="Default">
    <w:name w:val="Default"/>
    <w:rsid w:val="00E4013F"/>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table" w:customStyle="1" w:styleId="TableGrid1">
    <w:name w:val="Table Grid1"/>
    <w:basedOn w:val="TableNormal"/>
    <w:next w:val="TableGrid"/>
    <w:uiPriority w:val="39"/>
    <w:rsid w:val="00BB7384"/>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7384"/>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F5547"/>
    <w:pPr>
      <w:spacing w:before="120" w:after="0" w:line="240" w:lineRule="auto"/>
      <w:jc w:val="center"/>
    </w:pPr>
    <w:rPr>
      <w:rFonts w:ascii="Times New Roman" w:eastAsia="Times New Roman" w:hAnsi="Times New Roman" w:cs="Times New Roman"/>
      <w:b/>
      <w:color w:val="4472C4"/>
      <w:sz w:val="28"/>
      <w:szCs w:val="28"/>
      <w:lang w:val="en-AU"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hma241121@gmail.com" TargetMode="External"/><Relationship Id="rId18" Type="http://schemas.openxmlformats.org/officeDocument/2006/relationships/hyperlink" Target="https://doi.org/10.3389/fpsyt.2024.1323743" TargetMode="External"/><Relationship Id="rId26" Type="http://schemas.openxmlformats.org/officeDocument/2006/relationships/hyperlink" Target="https://doi.org/10.1530/REP-24-0200" TargetMode="External"/><Relationship Id="rId39" Type="http://schemas.openxmlformats.org/officeDocument/2006/relationships/hyperlink" Target="https://doi.org/10.30207%2fAHLA.202312.0019" TargetMode="External"/><Relationship Id="rId21" Type="http://schemas.openxmlformats.org/officeDocument/2006/relationships/hyperlink" Target="https://doi.org/10.1001/jamainternmed.2013.13018" TargetMode="External"/><Relationship Id="rId34" Type="http://schemas.openxmlformats.org/officeDocument/2006/relationships/hyperlink" Target="https://doi.org/10.35311/jmpm.v5i2.640" TargetMode="External"/><Relationship Id="rId42" Type="http://schemas.openxmlformats.org/officeDocument/2006/relationships/hyperlink" Target="https://journal.ihepsa.ir/article-1-2957-en.html" TargetMode="External"/><Relationship Id="rId47" Type="http://schemas.openxmlformats.org/officeDocument/2006/relationships/hyperlink" Target="https://journal.unnes.ac.id/nju/index.php/kemas/article/view/3512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jopp.org/article/1054?utm_source=chatgpt.com" TargetMode="External"/><Relationship Id="rId29" Type="http://schemas.openxmlformats.org/officeDocument/2006/relationships/hyperlink" Target="https://doi.org/10.30476/IJCBNM.2022.92236.2319" TargetMode="External"/><Relationship Id="rId11" Type="http://schemas.openxmlformats.org/officeDocument/2006/relationships/header" Target="header2.xml"/><Relationship Id="rId24" Type="http://schemas.openxmlformats.org/officeDocument/2006/relationships/hyperlink" Target="https://doi.org/10.1080/13697137.2023.2194571" TargetMode="External"/><Relationship Id="rId32" Type="http://schemas.openxmlformats.org/officeDocument/2006/relationships/hyperlink" Target="https://jurnal.arrum-salatiga.ac.id/index.php/jika/article/view/353" TargetMode="External"/><Relationship Id="rId37" Type="http://schemas.openxmlformats.org/officeDocument/2006/relationships/hyperlink" Target="https://doi.org/10.1007/s12325-024-02787-z" TargetMode="External"/><Relationship Id="rId40" Type="http://schemas.openxmlformats.org/officeDocument/2006/relationships/hyperlink" Target="https://doi.org/10.3390/biomedicines12010184" TargetMode="External"/><Relationship Id="rId45" Type="http://schemas.openxmlformats.org/officeDocument/2006/relationships/hyperlink" Target="https://journal.unisla.ac.id/index.php/ijghr/article/view/512" TargetMode="External"/><Relationship Id="rId5" Type="http://schemas.openxmlformats.org/officeDocument/2006/relationships/webSettings" Target="webSettings.xml"/><Relationship Id="rId15" Type="http://schemas.openxmlformats.org/officeDocument/2006/relationships/hyperlink" Target="https://doi.org/10.1186/s40359-023-01267-3" TargetMode="External"/><Relationship Id="rId23" Type="http://schemas.openxmlformats.org/officeDocument/2006/relationships/hyperlink" Target="https://pmc.ncbi.nlm.nih.gov/articles/PMC8724726/" TargetMode="External"/><Relationship Id="rId28" Type="http://schemas.openxmlformats.org/officeDocument/2006/relationships/hyperlink" Target="https://doi.org/10.20473/jpk.V9.I2.2021.142-150" TargetMode="External"/><Relationship Id="rId36" Type="http://schemas.openxmlformats.org/officeDocument/2006/relationships/hyperlink" Target="https://doi.org/10.52236/ih.v13i1.702"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097/GME.0000000000002406" TargetMode="External"/><Relationship Id="rId31" Type="http://schemas.openxmlformats.org/officeDocument/2006/relationships/hyperlink" Target="https://doi.org/10.3389/fpubh.2024.1426191" TargetMode="External"/><Relationship Id="rId44" Type="http://schemas.openxmlformats.org/officeDocument/2006/relationships/hyperlink" Target="https://doi.org/10.1111/1756-185X.7001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reativecommons.org/licenses/by-sa/4.0/" TargetMode="External"/><Relationship Id="rId22" Type="http://schemas.openxmlformats.org/officeDocument/2006/relationships/hyperlink" Target="https://doi.org/10.1186/s12905-022-02007-2" TargetMode="External"/><Relationship Id="rId27" Type="http://schemas.openxmlformats.org/officeDocument/2006/relationships/hyperlink" Target="https://bmcgeriatr.biomedcentral.com/articles/10.1186/s12877-025-06444-0" TargetMode="External"/><Relationship Id="rId30" Type="http://schemas.openxmlformats.org/officeDocument/2006/relationships/hyperlink" Target="https://doi.org/10.30597/jikm.v12i4.10843" TargetMode="External"/><Relationship Id="rId35" Type="http://schemas.openxmlformats.org/officeDocument/2006/relationships/hyperlink" Target="https://print.ispub.com/api/0/ispub-article/54098" TargetMode="External"/><Relationship Id="rId43" Type="http://schemas.openxmlformats.org/officeDocument/2006/relationships/hyperlink" Target="https://publishing.emanresearch.org/CurrentIssuePDF/EmanPublisher_1_5208angiotherapy-729407.pdf"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apcz.umk.pl/JEHS/article/download/43842/35751" TargetMode="External"/><Relationship Id="rId25" Type="http://schemas.openxmlformats.org/officeDocument/2006/relationships/hyperlink" Target="http://www.hrpub.org" TargetMode="External"/><Relationship Id="rId33" Type="http://schemas.openxmlformats.org/officeDocument/2006/relationships/hyperlink" Target="https://proceedings.espoch.edu.ec/index.php/espochconferences/article/view/979" TargetMode="External"/><Relationship Id="rId38" Type="http://schemas.openxmlformats.org/officeDocument/2006/relationships/hyperlink" Target="https://www.frontiersin.org/journals/public-health/articles/10.3389/fpubh.2022.1045642" TargetMode="External"/><Relationship Id="rId46" Type="http://schemas.openxmlformats.org/officeDocument/2006/relationships/hyperlink" Target="https://jurnal.poltekkes-smg.ac.id/ojs/index.php/jkpi/article/view/2981" TargetMode="External"/><Relationship Id="rId20" Type="http://schemas.openxmlformats.org/officeDocument/2006/relationships/hyperlink" Target="https://doi.org/10.7759/cureus.69744" TargetMode="External"/><Relationship Id="rId41" Type="http://schemas.openxmlformats.org/officeDocument/2006/relationships/hyperlink" Target="https://doi.org/10.1016/j.apbh.2022.10000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hyperlink" Target="https://portal.issn.org/resource/ISSN/2354-8762" TargetMode="External"/><Relationship Id="rId1" Type="http://schemas.openxmlformats.org/officeDocument/2006/relationships/hyperlink" Target="https://doi.org/10.58185/jkr.v16i2.396"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ournaliakmitangsel2.iakmi.or.i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portal.issn.org/resource/ISSN/2354-8762" TargetMode="External"/><Relationship Id="rId2" Type="http://schemas.openxmlformats.org/officeDocument/2006/relationships/hyperlink" Target="https://doi.org/10.58185/jkr.v15i1.xxxx"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https://journaliakmitangsel2.iakmi.or.id/index.php/kes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7427D-95E2-4AF0-9D8C-BB652D9F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7482</Words>
  <Characters>42654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sukarelawan</dc:creator>
  <cp:keywords/>
  <dc:description/>
  <cp:lastModifiedBy>Zahra Adinda Herdiannisa</cp:lastModifiedBy>
  <cp:revision>8</cp:revision>
  <cp:lastPrinted>2026-02-17T05:08:00Z</cp:lastPrinted>
  <dcterms:created xsi:type="dcterms:W3CDTF">2026-02-07T04:23:00Z</dcterms:created>
  <dcterms:modified xsi:type="dcterms:W3CDTF">2026-02-17T05:11:00Z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http://csl.mendeley.com/styles/616257441/american-sociological-association-23</vt:lpwstr>
  </property>
  <property fmtid="{D5CDD505-2E9C-101B-9397-08002B2CF9AE}" pid="5" name="Mendeley Recent Style Name 1_1">
    <vt:lpwstr>American Sociological Association 6th edition - Agung Prabawa Kusrin 23</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http://www.zotero.org/styles/la-trobe-university-apa</vt:lpwstr>
  </property>
  <property fmtid="{D5CDD505-2E9C-101B-9397-08002B2CF9AE}" pid="13" name="Mendeley Recent Style Name 5_1">
    <vt:lpwstr>La Trobe University - APA 6th edition</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ff9b35c3-608f-3e8e-a3f1-3036d0c28515</vt:lpwstr>
  </property>
  <property fmtid="{D5CDD505-2E9C-101B-9397-08002B2CF9AE}" pid="24" name="Mendeley Citation Style_1">
    <vt:lpwstr>http://www.zotero.org/styles/ieee</vt:lpwstr>
  </property>
  <property fmtid="{D5CDD505-2E9C-101B-9397-08002B2CF9AE}" pid="25" name="GrammarlyDocumentId">
    <vt:lpwstr>02c5539f-fae8-4abf-9a38-b5ceac845e49</vt:lpwstr>
  </property>
</Properties>
</file>